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0980" w14:textId="77777777" w:rsidR="007A5555" w:rsidRDefault="00000000">
      <w:pPr>
        <w:pStyle w:val="Heading1"/>
      </w:pPr>
      <w:r>
        <w:t>Chronic Kidney Disease Comprehensive Staging Reference</w:t>
      </w:r>
    </w:p>
    <w:p w14:paraId="43153BA8" w14:textId="62DE8230" w:rsidR="007A5555" w:rsidRDefault="00000000">
      <w:pPr>
        <w:spacing w:after="200"/>
        <w:jc w:val="center"/>
      </w:pPr>
      <w:r>
        <w:rPr>
          <w:i/>
          <w:iCs/>
          <w:color w:val="555555"/>
        </w:rPr>
        <w:t xml:space="preserve">Based on KDIGO 2024 Guidelines &amp; Current Evidence  •  </w:t>
      </w:r>
      <w:r w:rsidR="00745B69">
        <w:rPr>
          <w:i/>
          <w:iCs/>
          <w:color w:val="555555"/>
        </w:rPr>
        <w:t xml:space="preserve"> by Stephen Z. Fadem, M.D., FASN (May 2026)</w:t>
      </w:r>
    </w:p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1127"/>
        <w:gridCol w:w="586"/>
        <w:gridCol w:w="2093"/>
        <w:gridCol w:w="1500"/>
        <w:gridCol w:w="1141"/>
        <w:gridCol w:w="1487"/>
        <w:gridCol w:w="1542"/>
        <w:gridCol w:w="1962"/>
        <w:gridCol w:w="953"/>
      </w:tblGrid>
      <w:tr w:rsidR="007A5555" w14:paraId="45B30F0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20" w:type="dxa"/>
            <w:tcBorders>
              <w:top w:val="single" w:sz="6" w:space="0" w:color="1A237E"/>
              <w:left w:val="single" w:sz="6" w:space="0" w:color="1A237E"/>
              <w:bottom w:val="single" w:sz="6" w:space="0" w:color="1A237E"/>
              <w:right w:val="single" w:sz="6" w:space="0" w:color="1A237E"/>
            </w:tcBorders>
            <w:shd w:val="clear" w:color="auto" w:fill="1A237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9E72CD" w14:textId="77777777" w:rsidR="007A5555" w:rsidRDefault="00000000">
            <w:r>
              <w:rPr>
                <w:b/>
                <w:bCs/>
                <w:color w:val="FFFFFF"/>
                <w:sz w:val="16"/>
                <w:szCs w:val="16"/>
              </w:rPr>
              <w:t>Stage</w:t>
            </w:r>
          </w:p>
        </w:tc>
        <w:tc>
          <w:tcPr>
            <w:tcW w:w="780" w:type="dxa"/>
            <w:tcBorders>
              <w:top w:val="single" w:sz="6" w:space="0" w:color="1A237E"/>
              <w:left w:val="single" w:sz="6" w:space="0" w:color="1A237E"/>
              <w:bottom w:val="single" w:sz="6" w:space="0" w:color="1A237E"/>
              <w:right w:val="single" w:sz="6" w:space="0" w:color="1A237E"/>
            </w:tcBorders>
            <w:shd w:val="clear" w:color="auto" w:fill="1A237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A6E2FC" w14:textId="77777777" w:rsidR="007A5555" w:rsidRDefault="00000000">
            <w:r>
              <w:rPr>
                <w:b/>
                <w:bCs/>
                <w:color w:val="FFFFFF"/>
                <w:sz w:val="16"/>
                <w:szCs w:val="16"/>
              </w:rPr>
              <w:t>GFR (mL/min/1.73 m²)</w:t>
            </w:r>
          </w:p>
        </w:tc>
        <w:tc>
          <w:tcPr>
            <w:tcW w:w="720" w:type="dxa"/>
            <w:tcBorders>
              <w:top w:val="single" w:sz="6" w:space="0" w:color="1A237E"/>
              <w:left w:val="single" w:sz="6" w:space="0" w:color="1A237E"/>
              <w:bottom w:val="single" w:sz="6" w:space="0" w:color="1A237E"/>
              <w:right w:val="single" w:sz="6" w:space="0" w:color="1A237E"/>
            </w:tcBorders>
            <w:shd w:val="clear" w:color="auto" w:fill="1A237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5EC673" w14:textId="77777777" w:rsidR="007A5555" w:rsidRDefault="00000000">
            <w:r>
              <w:rPr>
                <w:b/>
                <w:bCs/>
                <w:color w:val="FFFFFF"/>
                <w:sz w:val="16"/>
                <w:szCs w:val="16"/>
              </w:rPr>
              <w:t>ICD-10</w:t>
            </w:r>
          </w:p>
        </w:tc>
        <w:tc>
          <w:tcPr>
            <w:tcW w:w="1500" w:type="dxa"/>
            <w:tcBorders>
              <w:top w:val="single" w:sz="6" w:space="0" w:color="1A237E"/>
              <w:left w:val="single" w:sz="6" w:space="0" w:color="1A237E"/>
              <w:bottom w:val="single" w:sz="6" w:space="0" w:color="1A237E"/>
              <w:right w:val="single" w:sz="6" w:space="0" w:color="1A237E"/>
            </w:tcBorders>
            <w:shd w:val="clear" w:color="auto" w:fill="1A237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EFE8A4" w14:textId="77777777" w:rsidR="007A5555" w:rsidRDefault="00000000">
            <w:r>
              <w:rPr>
                <w:b/>
                <w:bCs/>
                <w:color w:val="FFFFFF"/>
                <w:sz w:val="16"/>
                <w:szCs w:val="16"/>
              </w:rPr>
              <w:t>Diagnosis</w:t>
            </w:r>
          </w:p>
        </w:tc>
        <w:tc>
          <w:tcPr>
            <w:tcW w:w="1450" w:type="dxa"/>
            <w:tcBorders>
              <w:top w:val="single" w:sz="6" w:space="0" w:color="1A237E"/>
              <w:left w:val="single" w:sz="6" w:space="0" w:color="1A237E"/>
              <w:bottom w:val="single" w:sz="6" w:space="0" w:color="1A237E"/>
              <w:right w:val="single" w:sz="6" w:space="0" w:color="1A237E"/>
            </w:tcBorders>
            <w:shd w:val="clear" w:color="auto" w:fill="1A237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BCC4A2" w14:textId="77777777" w:rsidR="007A5555" w:rsidRDefault="00000000">
            <w:r>
              <w:rPr>
                <w:b/>
                <w:bCs/>
                <w:color w:val="FFFFFF"/>
                <w:sz w:val="16"/>
                <w:szCs w:val="16"/>
              </w:rPr>
              <w:t>Clinical Presentation</w:t>
            </w:r>
          </w:p>
        </w:tc>
        <w:tc>
          <w:tcPr>
            <w:tcW w:w="1450" w:type="dxa"/>
            <w:tcBorders>
              <w:top w:val="single" w:sz="6" w:space="0" w:color="1A237E"/>
              <w:left w:val="single" w:sz="6" w:space="0" w:color="1A237E"/>
              <w:bottom w:val="single" w:sz="6" w:space="0" w:color="1A237E"/>
              <w:right w:val="single" w:sz="6" w:space="0" w:color="1A237E"/>
            </w:tcBorders>
            <w:shd w:val="clear" w:color="auto" w:fill="1A237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D0214B" w14:textId="77777777" w:rsidR="007A5555" w:rsidRDefault="00000000">
            <w:r>
              <w:rPr>
                <w:b/>
                <w:bCs/>
                <w:color w:val="FFFFFF"/>
                <w:sz w:val="16"/>
                <w:szCs w:val="16"/>
              </w:rPr>
              <w:t>Key Labs &amp; Markers</w:t>
            </w:r>
          </w:p>
        </w:tc>
        <w:tc>
          <w:tcPr>
            <w:tcW w:w="1450" w:type="dxa"/>
            <w:tcBorders>
              <w:top w:val="single" w:sz="6" w:space="0" w:color="1A237E"/>
              <w:left w:val="single" w:sz="6" w:space="0" w:color="1A237E"/>
              <w:bottom w:val="single" w:sz="6" w:space="0" w:color="1A237E"/>
              <w:right w:val="single" w:sz="6" w:space="0" w:color="1A237E"/>
            </w:tcBorders>
            <w:shd w:val="clear" w:color="auto" w:fill="1A237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99F4B0" w14:textId="77777777" w:rsidR="007A5555" w:rsidRDefault="00000000">
            <w:r>
              <w:rPr>
                <w:b/>
                <w:bCs/>
                <w:color w:val="FFFFFF"/>
                <w:sz w:val="16"/>
                <w:szCs w:val="16"/>
              </w:rPr>
              <w:t>Complications</w:t>
            </w:r>
          </w:p>
        </w:tc>
        <w:tc>
          <w:tcPr>
            <w:tcW w:w="1730" w:type="dxa"/>
            <w:tcBorders>
              <w:top w:val="single" w:sz="6" w:space="0" w:color="1A237E"/>
              <w:left w:val="single" w:sz="6" w:space="0" w:color="1A237E"/>
              <w:bottom w:val="single" w:sz="6" w:space="0" w:color="1A237E"/>
              <w:right w:val="single" w:sz="6" w:space="0" w:color="1A237E"/>
            </w:tcBorders>
            <w:shd w:val="clear" w:color="auto" w:fill="1A237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4CF7DB" w14:textId="77777777" w:rsidR="007A5555" w:rsidRDefault="00000000">
            <w:r>
              <w:rPr>
                <w:b/>
                <w:bCs/>
                <w:color w:val="FFFFFF"/>
                <w:sz w:val="16"/>
                <w:szCs w:val="16"/>
              </w:rPr>
              <w:t>Management</w:t>
            </w:r>
          </w:p>
        </w:tc>
        <w:tc>
          <w:tcPr>
            <w:tcW w:w="1730" w:type="dxa"/>
            <w:tcBorders>
              <w:top w:val="single" w:sz="6" w:space="0" w:color="1A237E"/>
              <w:left w:val="single" w:sz="6" w:space="0" w:color="1A237E"/>
              <w:bottom w:val="single" w:sz="6" w:space="0" w:color="1A237E"/>
              <w:right w:val="single" w:sz="6" w:space="0" w:color="1A237E"/>
            </w:tcBorders>
            <w:shd w:val="clear" w:color="auto" w:fill="1A237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CD3FF6" w14:textId="77777777" w:rsidR="007A5555" w:rsidRDefault="00000000">
            <w:r>
              <w:rPr>
                <w:b/>
                <w:bCs/>
                <w:color w:val="FFFFFF"/>
                <w:sz w:val="16"/>
                <w:szCs w:val="16"/>
              </w:rPr>
              <w:t>Therapy</w:t>
            </w:r>
          </w:p>
        </w:tc>
        <w:tc>
          <w:tcPr>
            <w:tcW w:w="1530" w:type="dxa"/>
            <w:tcBorders>
              <w:top w:val="single" w:sz="6" w:space="0" w:color="1A237E"/>
              <w:left w:val="single" w:sz="6" w:space="0" w:color="1A237E"/>
              <w:bottom w:val="single" w:sz="6" w:space="0" w:color="1A237E"/>
              <w:right w:val="single" w:sz="6" w:space="0" w:color="1A237E"/>
            </w:tcBorders>
            <w:shd w:val="clear" w:color="auto" w:fill="1A237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1B8B13" w14:textId="77777777" w:rsidR="007A5555" w:rsidRDefault="00000000">
            <w:r>
              <w:rPr>
                <w:b/>
                <w:bCs/>
                <w:color w:val="FFFFFF"/>
                <w:sz w:val="16"/>
                <w:szCs w:val="16"/>
              </w:rPr>
              <w:t>References</w:t>
            </w:r>
          </w:p>
        </w:tc>
      </w:tr>
      <w:tr w:rsidR="007A5555" w14:paraId="0308564B" w14:textId="77777777">
        <w:tblPrEx>
          <w:tblCellMar>
            <w:top w:w="0" w:type="dxa"/>
            <w:bottom w:w="0" w:type="dxa"/>
          </w:tblCellMar>
        </w:tblPrEx>
        <w:tc>
          <w:tcPr>
            <w:tcW w:w="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CAF5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553394" w14:textId="77777777" w:rsidR="007A555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G1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A85DAD" w14:textId="77777777" w:rsidR="007A5555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≥ 90</w:t>
            </w: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1E966F" w14:textId="77777777" w:rsidR="007A5555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1A237E"/>
                <w:sz w:val="14"/>
                <w:szCs w:val="14"/>
              </w:rPr>
              <w:t>N18.1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7DE47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≥ 90 plus markers of kidney damage present ≥ 3 months</w:t>
            </w:r>
          </w:p>
          <w:p w14:paraId="1AB1547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Markers: albuminuria (ACR ≥ 30 mg/g), hematuria, structural abnormality, history of transplant</w:t>
            </w:r>
          </w:p>
          <w:p w14:paraId="2001058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alone does NOT qualify as CKD at this stage</w:t>
            </w:r>
          </w:p>
          <w:p w14:paraId="623F139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Use CKD-EPI 2021 creatinine equation; confirm with cystatin C if borderline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E077FB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Usually asymptomatic</w:t>
            </w:r>
          </w:p>
          <w:p w14:paraId="46679B0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Detected via screening in at-risk populations (diabetes, HTN, family history)</w:t>
            </w:r>
          </w:p>
          <w:p w14:paraId="0FB2E98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Foamy urine if significant albuminuria</w:t>
            </w:r>
          </w:p>
          <w:p w14:paraId="5DB6C526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Gross hematuria if glomerulonephritis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B6377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(CKD-EPI 2021, cystatin C)</w:t>
            </w:r>
          </w:p>
          <w:p w14:paraId="347AC95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UACR spot urine, confirm with repeat</w:t>
            </w:r>
          </w:p>
          <w:p w14:paraId="6589F04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Urinalysis with microscopy</w:t>
            </w:r>
          </w:p>
          <w:p w14:paraId="77D3DB6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BMP, lipid panel at baseline</w:t>
            </w:r>
          </w:p>
          <w:p w14:paraId="1595428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Renal ultrasound if structural cause suspected</w:t>
            </w:r>
          </w:p>
          <w:p w14:paraId="1A25365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Monitor eGFR + UACR annually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A27B87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Increased CV risk if albuminuria present</w:t>
            </w:r>
          </w:p>
          <w:p w14:paraId="1469AE4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Risk of progression dependent on etiology &amp; albuminuria category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50AC0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Identify &amp; treat underlying cause (diabetes, GN, obstruction)</w:t>
            </w:r>
          </w:p>
          <w:p w14:paraId="72E412C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Risk factor modification: smoking cessation, weight management, exercise</w:t>
            </w:r>
          </w:p>
          <w:p w14:paraId="32B2649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Dietary sodium &lt; 2 g/day</w:t>
            </w:r>
          </w:p>
          <w:p w14:paraId="00CADDF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Avoid nephrotoxins (NSAIDs, aminoglycosides, iodinated contrast without precautions)</w:t>
            </w:r>
          </w:p>
          <w:p w14:paraId="01B1002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Annual screening for complications not yet required</w:t>
            </w:r>
          </w:p>
          <w:p w14:paraId="7E609CD4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Patient education on CKD awareness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6D7E97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ACEi/ARB if albuminuria ≥ 30 mg/g (with DM) or ≥ 300 mg/g (without DM); titrate to max tolerated dose</w:t>
            </w:r>
          </w:p>
          <w:p w14:paraId="129E44E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BP target &lt; 120 mmHg systolic (standardized measurement)</w:t>
            </w:r>
          </w:p>
          <w:p w14:paraId="5CC5B71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Statin if age ≥ 50 or CV risk factors</w:t>
            </w:r>
          </w:p>
          <w:p w14:paraId="280DEC83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SGLT2i if T2DM with albuminuria or HF</w:t>
            </w:r>
          </w:p>
          <w:p w14:paraId="39371A6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Glycemic control (HbA1c ~7%) if diabetic</w:t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FDDAAF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1. KDIGO, Kidney Int, 2024</w:t>
            </w:r>
          </w:p>
          <w:p w14:paraId="52BB348E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2. Chen, JAMA, 2019</w:t>
            </w:r>
          </w:p>
          <w:p w14:paraId="72DC0246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3. Herrington, Lancet, 2026</w:t>
            </w:r>
          </w:p>
          <w:p w14:paraId="7D503DB3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4. Song, JAMA, 2025</w:t>
            </w:r>
          </w:p>
          <w:p w14:paraId="0A5BE90D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5. Goodbred, Am Fam Physician, 2023</w:t>
            </w:r>
          </w:p>
        </w:tc>
      </w:tr>
      <w:tr w:rsidR="007A5555" w14:paraId="7CC83997" w14:textId="77777777">
        <w:tblPrEx>
          <w:tblCellMar>
            <w:top w:w="0" w:type="dxa"/>
            <w:bottom w:w="0" w:type="dxa"/>
          </w:tblCellMar>
        </w:tblPrEx>
        <w:tc>
          <w:tcPr>
            <w:tcW w:w="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BC34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E3220E" w14:textId="77777777" w:rsidR="007A555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G2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9E76BD" w14:textId="77777777" w:rsidR="007A5555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60–89</w:t>
            </w: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E009C" w14:textId="77777777" w:rsidR="007A5555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1A237E"/>
                <w:sz w:val="14"/>
                <w:szCs w:val="14"/>
              </w:rPr>
              <w:t>N18.2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AA333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60–89 plus markers of kidney damage present ≥ 3 months</w:t>
            </w:r>
          </w:p>
          <w:p w14:paraId="6C7CB1C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Same marker requirements as G1</w:t>
            </w:r>
          </w:p>
          <w:p w14:paraId="06BE1557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Mildly decreased GFR alone in older adults may not represent CKD</w:t>
            </w:r>
          </w:p>
          <w:p w14:paraId="4545547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Consider age-related GFR decline vs. true CKD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C72DDC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Usually asymptomatic</w:t>
            </w:r>
          </w:p>
          <w:p w14:paraId="6736FA5B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May have foamy urine, nocturia, or gross hematuria depending on etiology</w:t>
            </w:r>
          </w:p>
          <w:p w14:paraId="432F600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Often incidental finding on routine labs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84E19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+ UACR</w:t>
            </w:r>
          </w:p>
          <w:p w14:paraId="03D0066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Urinalysis with microscopy</w:t>
            </w:r>
          </w:p>
          <w:p w14:paraId="5E933486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BMP, lipid panel at baseline</w:t>
            </w:r>
          </w:p>
          <w:p w14:paraId="5052E9F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Consider cystatin C to confirm eGFR</w:t>
            </w:r>
          </w:p>
          <w:p w14:paraId="17E6C183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Monitor annually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9A801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Mildly increased CV risk</w:t>
            </w:r>
          </w:p>
          <w:p w14:paraId="64304FA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Progression risk depends on albuminuria &amp; etiology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6D02C7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Same as G1</w:t>
            </w:r>
          </w:p>
          <w:p w14:paraId="6D1053D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Establish CKD cause if not yet determined</w:t>
            </w:r>
          </w:p>
          <w:p w14:paraId="266D979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Consider renal biopsy if unexplained albuminuria or hematuria</w:t>
            </w:r>
          </w:p>
          <w:p w14:paraId="555CEA3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Medication review for nephrotoxins</w:t>
            </w:r>
          </w:p>
          <w:p w14:paraId="689358C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Immunizations up to date (influenza, pneumococcal, COVID-19)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C2186B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ACEi/ARB for albuminuria (same criteria as G1)</w:t>
            </w:r>
          </w:p>
          <w:p w14:paraId="6C2FB54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Statin if age ≥ 50 or CV risk factors</w:t>
            </w:r>
          </w:p>
          <w:p w14:paraId="7D4B7BE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Glycemic control (HbA1c ~7%) if diabetic</w:t>
            </w:r>
          </w:p>
          <w:p w14:paraId="53DC3B0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SGLT2i if T2DM with albuminuria or HF</w:t>
            </w:r>
          </w:p>
          <w:p w14:paraId="42D1891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GLP-1 RA if T2DM with suboptimal glycemic control</w:t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84C909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1. KDIGO, Kidney Int, 2024</w:t>
            </w:r>
          </w:p>
          <w:p w14:paraId="30215961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2. Chen, JAMA, 2019</w:t>
            </w:r>
          </w:p>
          <w:p w14:paraId="0A6EA280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3. Herrington, Lancet, 2026</w:t>
            </w:r>
          </w:p>
          <w:p w14:paraId="515CCE2F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4. ADA, Diabetes Care, 2026</w:t>
            </w:r>
          </w:p>
          <w:p w14:paraId="705EB810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5. Gunning, JAMA, 2025</w:t>
            </w:r>
          </w:p>
        </w:tc>
      </w:tr>
      <w:tr w:rsidR="007A5555" w14:paraId="33AD5EBD" w14:textId="77777777">
        <w:tblPrEx>
          <w:tblCellMar>
            <w:top w:w="0" w:type="dxa"/>
            <w:bottom w:w="0" w:type="dxa"/>
          </w:tblCellMar>
        </w:tblPrEx>
        <w:tc>
          <w:tcPr>
            <w:tcW w:w="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C10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5658C2" w14:textId="77777777" w:rsidR="007A5555" w:rsidRDefault="00000000">
            <w:pPr>
              <w:jc w:val="center"/>
            </w:pPr>
            <w:r>
              <w:rPr>
                <w:b/>
                <w:bCs/>
                <w:color w:val="333333"/>
              </w:rPr>
              <w:t>G3a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97CA8B" w14:textId="77777777" w:rsidR="007A5555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45–59</w:t>
            </w: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41F596" w14:textId="77777777" w:rsidR="007A5555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1A237E"/>
                <w:sz w:val="14"/>
                <w:szCs w:val="14"/>
              </w:rPr>
              <w:t>N18.31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775316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45–59; meets CKD criteria on eGFR alone (no markers of damage required)</w:t>
            </w:r>
          </w:p>
          <w:p w14:paraId="6EBB336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Mildly to moderately decreased kidney function</w:t>
            </w:r>
          </w:p>
          <w:p w14:paraId="1EB0E4E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Confirm with repeat eGFR ≥ 3 months apart</w:t>
            </w:r>
          </w:p>
          <w:p w14:paraId="0349E84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Calculate KFRE (4-variable) for 2- and 5-year kidney failure risk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5FCEE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Often asymptomatic</w:t>
            </w:r>
          </w:p>
          <w:p w14:paraId="0790F366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Fatigue may begin</w:t>
            </w:r>
          </w:p>
          <w:p w14:paraId="5ED6501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Early nocturia</w:t>
            </w:r>
          </w:p>
          <w:p w14:paraId="5ECC745A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Mild edema in some patients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98784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+ UACR q6–12 months</w:t>
            </w:r>
          </w:p>
          <w:p w14:paraId="484B6F5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CBC (anemia screening annually)</w:t>
            </w:r>
          </w:p>
          <w:p w14:paraId="10FA7EB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BMP (K⁺, bicarb, Ca²⁺, PO₄)</w:t>
            </w:r>
          </w:p>
          <w:p w14:paraId="74DC423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PTH baseline, then as indicated</w:t>
            </w:r>
          </w:p>
          <w:p w14:paraId="40E43A7A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25(OH)D baseline</w:t>
            </w:r>
          </w:p>
          <w:p w14:paraId="0EA42AB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Lipid panel</w:t>
            </w:r>
          </w:p>
          <w:p w14:paraId="4B07AADC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KFRE calculation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32A7D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CV disease leading cause of death; risk significantly elevated</w:t>
            </w:r>
          </w:p>
          <w:p w14:paraId="325DCEDA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Early anemia (prevalence ~8–15%)</w:t>
            </w:r>
          </w:p>
          <w:p w14:paraId="53D562A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Early CKD-MBD (↑ PTH, ↑ FGF-23)</w:t>
            </w:r>
          </w:p>
          <w:p w14:paraId="3C377B23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Medication dose adjustments needed</w:t>
            </w:r>
          </w:p>
          <w:p w14:paraId="377BC3F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AKI vulnerability increased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196A7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Dose-adjust renally cleared medications</w:t>
            </w:r>
          </w:p>
          <w:p w14:paraId="4416369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Protein intake ~0.8 g/kg/day</w:t>
            </w:r>
          </w:p>
          <w:p w14:paraId="233A07A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Nephrology referral if KFRE 5-year risk ≥ 35%</w:t>
            </w:r>
          </w:p>
          <w:p w14:paraId="0443F9EB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Monitor for anemia, CKD-MBD, acidosis</w:t>
            </w:r>
          </w:p>
          <w:p w14:paraId="3ED76FF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Hepatitis B vaccination</w:t>
            </w:r>
          </w:p>
          <w:p w14:paraId="69EEDDB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Avoid iodinated contrast without hydration protocol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BBF1C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ACEi/ARB (first-line for albuminuria)</w:t>
            </w:r>
          </w:p>
          <w:p w14:paraId="4435FE6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SGLT2i (dapagliflozin/empagliflozin) eGFR ≥ 20, with or without diabetes</w:t>
            </w:r>
          </w:p>
          <w:p w14:paraId="666EBE3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Statin (age ≥ 50 or CV risk)</w:t>
            </w:r>
          </w:p>
          <w:p w14:paraId="41833DC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Finerenone if T2DM + albuminuria (UACR ≥ 30 mg/g) + eGFR ≥ 25</w:t>
            </w:r>
          </w:p>
          <w:p w14:paraId="62E615A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GLP-1 RA if T2DM with suboptimal glycemic control</w:t>
            </w:r>
          </w:p>
          <w:p w14:paraId="2FD93BA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BP target &lt; 120 mmHg systolic</w:t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D3226E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lastRenderedPageBreak/>
              <w:t>1. KDIGO, Kidney Int, 2024</w:t>
            </w:r>
          </w:p>
          <w:p w14:paraId="2DDCB3D9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2. Herrington, Lancet, 2026</w:t>
            </w:r>
          </w:p>
          <w:p w14:paraId="06EC562A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3. Song, JAMA, 2025</w:t>
            </w:r>
          </w:p>
          <w:p w14:paraId="33B243EE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4. ADA, Diabetes Care, 2026</w:t>
            </w:r>
          </w:p>
          <w:p w14:paraId="58E4BD8D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5. Moranne, JASN, 2009</w:t>
            </w:r>
          </w:p>
          <w:p w14:paraId="5A48BDFC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lastRenderedPageBreak/>
              <w:t>6. KDIGO CKD-MBD, 2017</w:t>
            </w:r>
          </w:p>
        </w:tc>
      </w:tr>
      <w:tr w:rsidR="007A5555" w14:paraId="2B440F33" w14:textId="77777777">
        <w:tblPrEx>
          <w:tblCellMar>
            <w:top w:w="0" w:type="dxa"/>
            <w:bottom w:w="0" w:type="dxa"/>
          </w:tblCellMar>
        </w:tblPrEx>
        <w:tc>
          <w:tcPr>
            <w:tcW w:w="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98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84B9C" w14:textId="77777777" w:rsidR="007A5555" w:rsidRDefault="00000000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G3b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195612" w14:textId="77777777" w:rsidR="007A5555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30–44</w:t>
            </w: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07C570" w14:textId="77777777" w:rsidR="007A5555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1A237E"/>
                <w:sz w:val="14"/>
                <w:szCs w:val="14"/>
              </w:rPr>
              <w:t>N18.32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2E057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30–44; moderately to severely decreased</w:t>
            </w:r>
          </w:p>
          <w:p w14:paraId="5893C34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Higher risk of progression to kidney failure</w:t>
            </w:r>
          </w:p>
          <w:p w14:paraId="37B64A1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KFRE should be calculated; nephrology referral recommended if 5-year risk ≥ 35%</w:t>
            </w:r>
          </w:p>
          <w:p w14:paraId="6746088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Establish cause if not yet determined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C24CFC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Fatigue, mild edema</w:t>
            </w:r>
          </w:p>
          <w:p w14:paraId="2D101187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Nocturia, changes in urine output</w:t>
            </w:r>
          </w:p>
          <w:p w14:paraId="5C7D217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May remain asymptomatic</w:t>
            </w:r>
          </w:p>
          <w:p w14:paraId="4778A4C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Early pruritus in some patients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5606A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+ UACR q3–6 months</w:t>
            </w:r>
          </w:p>
          <w:p w14:paraId="514A6D37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CBC q6–12 months</w:t>
            </w:r>
          </w:p>
          <w:p w14:paraId="2F4CBF8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Ca²⁺, PO₄ q6–12 months</w:t>
            </w:r>
          </w:p>
          <w:p w14:paraId="2E5BA09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PTH baseline, then per trend</w:t>
            </w:r>
          </w:p>
          <w:p w14:paraId="0C2D7E5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25(OH)D</w:t>
            </w:r>
          </w:p>
          <w:p w14:paraId="4854277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Serum albumin</w:t>
            </w:r>
          </w:p>
          <w:p w14:paraId="5F7A0C77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Bicarb &amp; K⁺ — monitor closely</w:t>
            </w:r>
          </w:p>
          <w:p w14:paraId="683D1914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Iron studies (ferritin, TSAT) if anemia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F80B0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CV disease — markedly elevated risk</w:t>
            </w:r>
          </w:p>
          <w:p w14:paraId="68CBE18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Anemia more prevalent</w:t>
            </w:r>
          </w:p>
          <w:p w14:paraId="709918D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CKD-MBD: ↑ PTH, ↑ PO₄ emerging, ↓ vitamin D</w:t>
            </w:r>
          </w:p>
          <w:p w14:paraId="3C5BE86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Metabolic acidosis (bicarb &lt; 22)</w:t>
            </w:r>
          </w:p>
          <w:p w14:paraId="2CEF4C2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Hyperkalemia risk increasing</w:t>
            </w:r>
          </w:p>
          <w:p w14:paraId="734A19E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Fluid retention</w:t>
            </w:r>
          </w:p>
          <w:p w14:paraId="7CCFF48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Gout exacerbation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E3C703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Nephrology referral recommended</w:t>
            </w:r>
          </w:p>
          <w:p w14:paraId="4D56A95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Multidisciplinary CKD care if KFRE 2-year risk ≥ 10%</w:t>
            </w:r>
          </w:p>
          <w:p w14:paraId="10AA392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Oral bicarb if HCO₃ &lt; 22 mmol/L</w:t>
            </w:r>
          </w:p>
          <w:p w14:paraId="6D5E835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Iron repletion for anemia; assess ESA if Hgb &lt; 10</w:t>
            </w:r>
          </w:p>
          <w:p w14:paraId="5DE2D24A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Low-PO₄ diet; phosphate binders if hyperphosphatemia</w:t>
            </w:r>
          </w:p>
          <w:p w14:paraId="61AA479C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Vitamin D supplementation if deficient</w:t>
            </w:r>
          </w:p>
          <w:p w14:paraId="5C8A06A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K⁺ management (dietary, patiromer/SZC)</w:t>
            </w:r>
          </w:p>
          <w:p w14:paraId="362D6253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Review all meds for dose adjustment</w:t>
            </w:r>
          </w:p>
          <w:p w14:paraId="0621CC1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Reduce metformin to 1000 mg/day if eGFR 30–44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9F6233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Continue ACEi/ARB, SGLT2i, finerenone (if indicated)</w:t>
            </w:r>
          </w:p>
          <w:p w14:paraId="5287222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Statin (continue or initiate)</w:t>
            </w:r>
          </w:p>
          <w:p w14:paraId="25372EE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GLP-1 RA if T2DM</w:t>
            </w:r>
          </w:p>
          <w:p w14:paraId="510E445B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BP target &lt; 120 mmHg systolic</w:t>
            </w:r>
          </w:p>
          <w:p w14:paraId="2B61300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Avoid dual RAS blockade</w:t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7B3AC7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1. KDIGO, Kidney Int, 2024</w:t>
            </w:r>
          </w:p>
          <w:p w14:paraId="748AC8C5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2. Herrington, Lancet, 2026</w:t>
            </w:r>
          </w:p>
          <w:p w14:paraId="0B451DAA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3. Moranne, JASN, 2009</w:t>
            </w:r>
          </w:p>
          <w:p w14:paraId="758FAC0A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4. KDIGO CKD-MBD, 2017</w:t>
            </w:r>
          </w:p>
          <w:p w14:paraId="23C7FF0F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5. VA/DoD CKD CPG, 2025</w:t>
            </w:r>
          </w:p>
          <w:p w14:paraId="4A90ACDA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6. ADA, Diabetes Care, 2026</w:t>
            </w:r>
          </w:p>
        </w:tc>
      </w:tr>
      <w:tr w:rsidR="007A5555" w14:paraId="011A39C4" w14:textId="77777777">
        <w:tblPrEx>
          <w:tblCellMar>
            <w:top w:w="0" w:type="dxa"/>
            <w:bottom w:w="0" w:type="dxa"/>
          </w:tblCellMar>
        </w:tblPrEx>
        <w:tc>
          <w:tcPr>
            <w:tcW w:w="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4433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7CF7F" w14:textId="77777777" w:rsidR="007A555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G4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B02F46" w14:textId="77777777" w:rsidR="007A5555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15–29</w:t>
            </w: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127F1A" w14:textId="77777777" w:rsidR="007A5555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1A237E"/>
                <w:sz w:val="14"/>
                <w:szCs w:val="14"/>
              </w:rPr>
              <w:t>N18.4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A2C6C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15–29; severely decreased kidney function</w:t>
            </w:r>
          </w:p>
          <w:p w14:paraId="4CB0EBA7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Nephrology co-management essential</w:t>
            </w:r>
          </w:p>
          <w:p w14:paraId="3A4D4F5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KFRE: if 2-year risk ≥ 40%, begin KRT planning (access, transplant eval)</w:t>
            </w:r>
          </w:p>
          <w:p w14:paraId="42E8B49C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Inform patient of all treatment options: transplant, dialysis, conservative management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65AAD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Fatigue, poor appetite, nausea</w:t>
            </w:r>
          </w:p>
          <w:p w14:paraId="7B5923EB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Peripheral edema, dyspnea</w:t>
            </w:r>
          </w:p>
          <w:p w14:paraId="25C3F8C4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Pruritus, metallic taste</w:t>
            </w:r>
          </w:p>
          <w:p w14:paraId="6A2B3D8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Nocturia, decreased urine output</w:t>
            </w:r>
          </w:p>
          <w:p w14:paraId="17E5864C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Cognitive changes possible</w:t>
            </w:r>
          </w:p>
          <w:p w14:paraId="5B5DC1F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Restless legs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E5F41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+ UACR q3–5 months</w:t>
            </w:r>
          </w:p>
          <w:p w14:paraId="2ED229B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CBC q3–6 months</w:t>
            </w:r>
          </w:p>
          <w:p w14:paraId="4F981C83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Ca²⁺, PO₄ q3–6 months</w:t>
            </w:r>
          </w:p>
          <w:p w14:paraId="198ABA2A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PTH q6–12 months</w:t>
            </w:r>
          </w:p>
          <w:p w14:paraId="7A14984C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 xml:space="preserve">Alk </w:t>
            </w:r>
            <w:proofErr w:type="spellStart"/>
            <w:r w:rsidRPr="00745B69">
              <w:rPr>
                <w:sz w:val="14"/>
                <w:szCs w:val="14"/>
              </w:rPr>
              <w:t>phos</w:t>
            </w:r>
            <w:proofErr w:type="spellEnd"/>
            <w:r w:rsidRPr="00745B69">
              <w:rPr>
                <w:sz w:val="14"/>
                <w:szCs w:val="14"/>
              </w:rPr>
              <w:t xml:space="preserve"> annually</w:t>
            </w:r>
          </w:p>
          <w:p w14:paraId="0323A0E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Bicarb, K⁺, albumin frequent</w:t>
            </w:r>
          </w:p>
          <w:p w14:paraId="08E0C38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Iron studies (ferritin, TSAT)</w:t>
            </w:r>
          </w:p>
          <w:p w14:paraId="31B973A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KFRE for 2- &amp; 5-year risk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959556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CV disease very high risk (MI, HF, stroke, sudden death)</w:t>
            </w:r>
          </w:p>
          <w:p w14:paraId="2F8ED52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Anemia common (~30–41%)</w:t>
            </w:r>
          </w:p>
          <w:p w14:paraId="15931CC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CKD-MBD: ↑ PTH (up to 85%), hyperphosphatemia (~30%), vascular calcification</w:t>
            </w:r>
          </w:p>
          <w:p w14:paraId="47C2FE6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Metabolic acidosis (~39%)</w:t>
            </w:r>
          </w:p>
          <w:p w14:paraId="1EA789C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Hyperkalemia (~42%)</w:t>
            </w:r>
          </w:p>
          <w:p w14:paraId="1C5D884A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Volume overload</w:t>
            </w:r>
          </w:p>
          <w:p w14:paraId="4B422F1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Uremic symptoms emerging</w:t>
            </w:r>
          </w:p>
          <w:p w14:paraId="45144AC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Malnutrition / protein-energy wasting</w:t>
            </w:r>
          </w:p>
          <w:p w14:paraId="3685CFEC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Increased infection risk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864E7A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Nephrology co-management essential</w:t>
            </w:r>
          </w:p>
          <w:p w14:paraId="297D6B93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Transplant referral: all CKD G4–G5 patients expected to reach ESKD should be informed &amp; evaluated (refer 6–12 months before anticipated dialysis)</w:t>
            </w:r>
          </w:p>
          <w:p w14:paraId="4B94A44B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Vascular access planning if HD anticipated (AVF creation when eGFR 15–20)</w:t>
            </w:r>
          </w:p>
          <w:p w14:paraId="206FAC7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 xml:space="preserve">ESA if Hgb persistently &lt; 10 </w:t>
            </w:r>
            <w:r w:rsidRPr="00745B69">
              <w:rPr>
                <w:sz w:val="14"/>
                <w:szCs w:val="14"/>
              </w:rPr>
              <w:lastRenderedPageBreak/>
              <w:t>g/dL (target 10–11.5)</w:t>
            </w:r>
          </w:p>
          <w:p w14:paraId="7736FA5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Phosphate binders (sevelamer, Ca-based, lanthanum)</w:t>
            </w:r>
          </w:p>
          <w:p w14:paraId="132E912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Active vitamin D analogs or calcimimetics for hyperparathyroidism</w:t>
            </w:r>
          </w:p>
          <w:p w14:paraId="7C8466C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Oral bicarb supplementation</w:t>
            </w:r>
          </w:p>
          <w:p w14:paraId="7E66DA2B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Hepatitis B vaccination (high-dose series)</w:t>
            </w:r>
          </w:p>
          <w:p w14:paraId="4ACC9E94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Discontinue metformin if eGFR &lt; 30</w:t>
            </w:r>
          </w:p>
          <w:p w14:paraId="26EC7074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Advance care planning discussions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A2E01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Continue ACEi/ARB (monitor K⁺ &amp; eGFR closely)</w:t>
            </w:r>
          </w:p>
          <w:p w14:paraId="1E7AC26C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SGLT2i continue if eGFR ≥ 20 (may initiate per EMPA-KIDNEY data)</w:t>
            </w:r>
          </w:p>
          <w:p w14:paraId="66815F5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Finerenone if T2DM + albuminuria + eGFR ≥ 25</w:t>
            </w:r>
          </w:p>
          <w:p w14:paraId="0C331F44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Statin (continue)</w:t>
            </w:r>
          </w:p>
          <w:p w14:paraId="20432FF3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BP target &lt; 120 mmHg systolic</w:t>
            </w:r>
          </w:p>
          <w:p w14:paraId="4C93324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Avoid NSAIDs, nephrotoxins</w:t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FBAB33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1. KDIGO, Kidney Int, 2024</w:t>
            </w:r>
          </w:p>
          <w:p w14:paraId="62E39738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2. Chen, JAMA, 2019</w:t>
            </w:r>
          </w:p>
          <w:p w14:paraId="502D3B6D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3. Herrington, Lancet, 2026</w:t>
            </w:r>
          </w:p>
          <w:p w14:paraId="724D96A4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4. Song, JAMA, 2025</w:t>
            </w:r>
          </w:p>
          <w:p w14:paraId="25990DD0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5. Moranne, JASN, 2009</w:t>
            </w:r>
          </w:p>
          <w:p w14:paraId="7BB39E2E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6. KDIGO Transplant, 2020</w:t>
            </w:r>
          </w:p>
          <w:p w14:paraId="34C83EB3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7. Combe, Nat Rev Nephrol, 2026</w:t>
            </w:r>
          </w:p>
        </w:tc>
      </w:tr>
      <w:tr w:rsidR="007A5555" w14:paraId="51F0AD2C" w14:textId="77777777">
        <w:tblPrEx>
          <w:tblCellMar>
            <w:top w:w="0" w:type="dxa"/>
            <w:bottom w:w="0" w:type="dxa"/>
          </w:tblCellMar>
        </w:tblPrEx>
        <w:tc>
          <w:tcPr>
            <w:tcW w:w="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1C1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26B46C" w14:textId="77777777" w:rsidR="007A555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G5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E4711E" w14:textId="77777777" w:rsidR="007A5555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&lt; 15</w:t>
            </w: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D4880E" w14:textId="77777777" w:rsidR="007A5555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1A237E"/>
                <w:sz w:val="14"/>
                <w:szCs w:val="14"/>
              </w:rPr>
              <w:t>N18.5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745A2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&lt; 15; kidney failure</w:t>
            </w:r>
          </w:p>
          <w:p w14:paraId="7DB4490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Dialysis initiation based on symptoms, signs, QoL, preferences — NOT eGFR alone</w:t>
            </w:r>
          </w:p>
          <w:p w14:paraId="0863C70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Often initiated when eGFR 5–10 (IDEAL trial: no benefit to early start)</w:t>
            </w:r>
          </w:p>
          <w:p w14:paraId="76D80846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Urgent indications: uremic encephalopathy, pericarditis, pleuritis, refractory hyperkalemia/acidosis/volume overload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C25B5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Uremic symptoms: nausea, vomiting, anorexia, weight loss</w:t>
            </w:r>
          </w:p>
          <w:p w14:paraId="3337FB3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Severe fatigue, pruritus</w:t>
            </w:r>
          </w:p>
          <w:p w14:paraId="05AE480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Dyspnea, orthopnea</w:t>
            </w:r>
          </w:p>
          <w:p w14:paraId="0A0EDBF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Peripheral neuropathy</w:t>
            </w:r>
          </w:p>
          <w:p w14:paraId="771A3466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Mental status changes, encephalopathy</w:t>
            </w:r>
          </w:p>
          <w:p w14:paraId="435935C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Pericarditis (emergent)</w:t>
            </w:r>
          </w:p>
          <w:p w14:paraId="5071BFFB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Bleeding diathesis</w:t>
            </w:r>
          </w:p>
          <w:p w14:paraId="36DED71A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Asterixis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EECEE6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+ UACR q1–3 months</w:t>
            </w:r>
          </w:p>
          <w:p w14:paraId="6D8407D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CBC q1–3 months</w:t>
            </w:r>
          </w:p>
          <w:p w14:paraId="7D2DF5C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Ca²⁺, PO₄ q1–3 months</w:t>
            </w:r>
          </w:p>
          <w:p w14:paraId="673BE847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PTH q3–6 months</w:t>
            </w:r>
          </w:p>
          <w:p w14:paraId="004AE32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 xml:space="preserve">Alk </w:t>
            </w:r>
            <w:proofErr w:type="spellStart"/>
            <w:r w:rsidRPr="00745B69">
              <w:rPr>
                <w:sz w:val="14"/>
                <w:szCs w:val="14"/>
              </w:rPr>
              <w:t>phos</w:t>
            </w:r>
            <w:proofErr w:type="spellEnd"/>
            <w:r w:rsidRPr="00745B69">
              <w:rPr>
                <w:sz w:val="14"/>
                <w:szCs w:val="14"/>
              </w:rPr>
              <w:t xml:space="preserve"> q12 months</w:t>
            </w:r>
          </w:p>
          <w:p w14:paraId="53F9369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Full metabolic panel frequent</w:t>
            </w:r>
          </w:p>
          <w:p w14:paraId="1AAF4BF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Iron studies, albumin, prealbumin</w:t>
            </w:r>
          </w:p>
          <w:p w14:paraId="5203260A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BUN — uremic marker</w:t>
            </w:r>
          </w:p>
          <w:p w14:paraId="5DD7348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Coagulation studies if bleeding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06482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All complications of G4, more severe</w:t>
            </w:r>
          </w:p>
          <w:p w14:paraId="2009D8DB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Uremia — multi-organ toxicity</w:t>
            </w:r>
          </w:p>
          <w:p w14:paraId="34D10C3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Severe anemia</w:t>
            </w:r>
          </w:p>
          <w:p w14:paraId="52CF99B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Refractory hyperkalemia, acidosis</w:t>
            </w:r>
          </w:p>
          <w:p w14:paraId="0147D5C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Severe CKD-MBD with vascular calcification</w:t>
            </w:r>
          </w:p>
          <w:p w14:paraId="3BDFCDF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Pericarditis, pleuritis</w:t>
            </w:r>
          </w:p>
          <w:p w14:paraId="13EC49F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Immune dysfunction &amp; infections</w:t>
            </w:r>
          </w:p>
          <w:p w14:paraId="6ADDEBC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Malnutrition</w:t>
            </w:r>
          </w:p>
          <w:p w14:paraId="5EAC39B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Peripheral &amp; autonomic neuropathy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2E1EE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Nephrology-led care</w:t>
            </w:r>
          </w:p>
          <w:p w14:paraId="546386F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Shared decision-making: dialysis vs. transplant vs. conservative kidney management</w:t>
            </w:r>
          </w:p>
          <w:p w14:paraId="093C7FE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Preemptive transplant preferred when feasible (superior survival)</w:t>
            </w:r>
          </w:p>
          <w:p w14:paraId="71047FA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Dialysis modality education (in-center HD, home HD, PD)</w:t>
            </w:r>
          </w:p>
          <w:p w14:paraId="54A26B0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Conservative management pathway if aligned with patient goals (symptom-focused care)</w:t>
            </w:r>
          </w:p>
          <w:p w14:paraId="75F1F13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Aggressive anemia management (ESA + IV iron; HIF-PHI as alternative)</w:t>
            </w:r>
          </w:p>
          <w:p w14:paraId="5DC0CCB6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Phosphate binders, calcimimetics, active vitamin D</w:t>
            </w:r>
          </w:p>
          <w:p w14:paraId="487A3F4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Dietary management (protein, K⁺, PO₄, Na⁺, fluid restriction)</w:t>
            </w:r>
          </w:p>
          <w:p w14:paraId="14D971F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 xml:space="preserve">Symptom management </w:t>
            </w:r>
            <w:r w:rsidRPr="00745B69">
              <w:rPr>
                <w:sz w:val="14"/>
                <w:szCs w:val="14"/>
              </w:rPr>
              <w:lastRenderedPageBreak/>
              <w:t xml:space="preserve">(antiemetics, </w:t>
            </w:r>
            <w:proofErr w:type="spellStart"/>
            <w:r w:rsidRPr="00745B69">
              <w:rPr>
                <w:sz w:val="14"/>
                <w:szCs w:val="14"/>
              </w:rPr>
              <w:t>antipruritics</w:t>
            </w:r>
            <w:proofErr w:type="spellEnd"/>
            <w:r w:rsidRPr="00745B69">
              <w:rPr>
                <w:sz w:val="14"/>
                <w:szCs w:val="14"/>
              </w:rPr>
              <w:t>, pain)</w:t>
            </w:r>
          </w:p>
          <w:p w14:paraId="74F6B46C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Advance care planning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74984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lastRenderedPageBreak/>
              <w:t>Continue cardiorenal protective agents as tolerated</w:t>
            </w:r>
          </w:p>
          <w:p w14:paraId="0F03D8F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SGLT2i may be continued below eGFR 20 once initiated</w:t>
            </w:r>
          </w:p>
          <w:p w14:paraId="21A6E2B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Symptom-directed pharmacotherapy</w:t>
            </w:r>
          </w:p>
          <w:p w14:paraId="1A53F9F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Initiate KRT when clinically indicated</w:t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2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A96C1F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1. KDIGO, Kidney Int, 2024</w:t>
            </w:r>
          </w:p>
          <w:p w14:paraId="58A5B09C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2. Chen, JAMA, 2019</w:t>
            </w:r>
          </w:p>
          <w:p w14:paraId="67753838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3. Herrington, Lancet, 2026</w:t>
            </w:r>
          </w:p>
          <w:p w14:paraId="16FABD99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4. Combe, Nat Rev Nephrol, 2026</w:t>
            </w:r>
          </w:p>
          <w:p w14:paraId="2C4856B9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5. Flythe, JAMA, 2024</w:t>
            </w:r>
          </w:p>
          <w:p w14:paraId="6E33BD43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6. Wouk, Am Fam Physician, 2021</w:t>
            </w:r>
          </w:p>
        </w:tc>
      </w:tr>
      <w:tr w:rsidR="007A5555" w14:paraId="470CBAC0" w14:textId="77777777">
        <w:tblPrEx>
          <w:tblCellMar>
            <w:top w:w="0" w:type="dxa"/>
            <w:bottom w:w="0" w:type="dxa"/>
          </w:tblCellMar>
        </w:tblPrEx>
        <w:tc>
          <w:tcPr>
            <w:tcW w:w="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A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30582A" w14:textId="77777777" w:rsidR="007A555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ESRD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2FB4D" w14:textId="77777777" w:rsidR="007A5555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&lt; 15 + RRT</w:t>
            </w: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5FB414" w14:textId="77777777" w:rsidR="007A5555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1A237E"/>
                <w:sz w:val="14"/>
                <w:szCs w:val="14"/>
              </w:rPr>
              <w:t>N18.6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8C4DE3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eGFR &lt; 15 AND receiving kidney replacement therapy (HD, PD, or transplant)</w:t>
            </w:r>
          </w:p>
          <w:p w14:paraId="4694E983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Distinct from G5 (which is pre-dialysis kidney failure)</w:t>
            </w:r>
          </w:p>
          <w:p w14:paraId="59CF1D9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Medicare ESRD benefit eligibility in the US</w:t>
            </w:r>
          </w:p>
          <w:p w14:paraId="79AEB28B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Transplant recipients coded N18.6 regardless of post-transplant eGFR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04816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On hemodialysis, peritoneal dialysis, or kidney transplant</w:t>
            </w:r>
          </w:p>
          <w:p w14:paraId="4DE4E61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Symptoms depend on dialysis adequacy</w:t>
            </w:r>
          </w:p>
          <w:p w14:paraId="615CF25A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Fatigue, cramping, hypotension (intradialytic)</w:t>
            </w:r>
          </w:p>
          <w:p w14:paraId="45CA3E4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Access-related complications (infection, thrombosis)</w:t>
            </w:r>
          </w:p>
          <w:p w14:paraId="7AC45D5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Post-transplant: immunosuppression side effects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3CF4B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Dialysis adequacy (Kt/V ≥ 1.4 HD; ≥ 1.7 PD weekly)</w:t>
            </w:r>
          </w:p>
          <w:p w14:paraId="6F852044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Monthly: CBC, BMP, Ca²⁺, PO₄, albumin</w:t>
            </w:r>
          </w:p>
          <w:p w14:paraId="6133C05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PTH q3–6 months</w:t>
            </w:r>
          </w:p>
          <w:p w14:paraId="1966E28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Iron studies monthly (HD patients)</w:t>
            </w:r>
          </w:p>
          <w:p w14:paraId="1B0D713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Hepatitis B/C serologies</w:t>
            </w:r>
          </w:p>
          <w:p w14:paraId="6DBC5351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Transplant: drug levels (tacrolimus, cyclosporine), DSA monitoring, BK virus, CMV</w:t>
            </w:r>
          </w:p>
        </w:tc>
        <w:tc>
          <w:tcPr>
            <w:tcW w:w="1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D5478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All CKD complications persist</w:t>
            </w:r>
          </w:p>
          <w:p w14:paraId="4D26F976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CV disease remains #1 cause of death</w:t>
            </w:r>
          </w:p>
          <w:p w14:paraId="6B3D0CD7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Access complications (AVF/AVG stenosis, catheter infections)</w:t>
            </w:r>
          </w:p>
          <w:p w14:paraId="2022804E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Dialysis-related amyloidosis (long-term)</w:t>
            </w:r>
          </w:p>
          <w:p w14:paraId="66A0EEE6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Transplant: rejection, infection, malignancy risk (PTLD, skin cancer)</w:t>
            </w:r>
          </w:p>
          <w:p w14:paraId="46F9E11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Psychosocial burden, depression</w:t>
            </w:r>
          </w:p>
          <w:p w14:paraId="7B3D330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Mortality ~15–20% per year on dialysis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DA8CAB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Kidney transplant — preferred RRT when feasible (superior survival &amp; QoL)</w:t>
            </w:r>
          </w:p>
          <w:p w14:paraId="5C537E1F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Hemodialysis — in-center 3×/week or home HD (more frequent; better outcomes)</w:t>
            </w:r>
          </w:p>
          <w:p w14:paraId="0A1A4ACD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Peritoneal dialysis — CAPD or APD; preserves residual function</w:t>
            </w:r>
          </w:p>
          <w:p w14:paraId="2DB43E4A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Conservative management — for patients declining dialysis</w:t>
            </w:r>
          </w:p>
          <w:p w14:paraId="76C66FFA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Maintain access patency; monitor adequacy</w:t>
            </w:r>
          </w:p>
          <w:p w14:paraId="35C2B485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Anemia, CKD-MBD, BP, volume management</w:t>
            </w:r>
          </w:p>
          <w:p w14:paraId="09941EF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Cardioprotection: statin, antiplatelet as indicated</w:t>
            </w:r>
          </w:p>
          <w:p w14:paraId="1274E2F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Vaccination per ESRD schedule</w:t>
            </w:r>
          </w:p>
          <w:p w14:paraId="2933F386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Multidisciplinary support (dietitian, social work, mental health)</w:t>
            </w:r>
          </w:p>
        </w:tc>
        <w:tc>
          <w:tcPr>
            <w:tcW w:w="1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1234B2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Immunosuppression (transplant): tacrolimus, MMF, prednisone, induction</w:t>
            </w:r>
          </w:p>
          <w:p w14:paraId="5A7C6269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ESA + iron, HIF-PHI</w:t>
            </w:r>
          </w:p>
          <w:p w14:paraId="70D83680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Phosphate binders, calcimimetics, active vitamin D</w:t>
            </w:r>
          </w:p>
          <w:p w14:paraId="31AFBCF8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Anti-hypertensives, statin</w:t>
            </w:r>
          </w:p>
          <w:p w14:paraId="3DF1424C" w14:textId="77777777" w:rsidR="007A5555" w:rsidRPr="00745B69" w:rsidRDefault="00000000">
            <w:pPr>
              <w:pStyle w:val="ListParagraph"/>
              <w:numPr>
                <w:ilvl w:val="0"/>
                <w:numId w:val="2"/>
              </w:numPr>
              <w:spacing w:after="20"/>
            </w:pPr>
            <w:r w:rsidRPr="00745B69">
              <w:rPr>
                <w:sz w:val="14"/>
                <w:szCs w:val="14"/>
              </w:rPr>
              <w:t>Treat dialysis-specific issues (cramps, hypotension, access)</w:t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892D08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1. KDIGO, Kidney Int, 2024</w:t>
            </w:r>
          </w:p>
          <w:p w14:paraId="08917A6E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2. KDIGO Transplant, 2020</w:t>
            </w:r>
          </w:p>
          <w:p w14:paraId="50127E70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3. USRDS Annual Report, 2024</w:t>
            </w:r>
          </w:p>
          <w:p w14:paraId="70897C88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4. Combe, Nat Rev Nephrol, 2026</w:t>
            </w:r>
          </w:p>
          <w:p w14:paraId="657B522F" w14:textId="77777777" w:rsidR="007A5555" w:rsidRPr="00745B69" w:rsidRDefault="00000000">
            <w:pPr>
              <w:spacing w:after="20"/>
            </w:pPr>
            <w:r w:rsidRPr="00745B69">
              <w:rPr>
                <w:sz w:val="12"/>
                <w:szCs w:val="12"/>
              </w:rPr>
              <w:t>5. Flythe, JAMA, 2024</w:t>
            </w:r>
          </w:p>
        </w:tc>
      </w:tr>
    </w:tbl>
    <w:p w14:paraId="4E65443F" w14:textId="77777777" w:rsidR="007A5555" w:rsidRDefault="00000000">
      <w:pPr>
        <w:spacing w:before="200"/>
        <w:jc w:val="center"/>
      </w:pPr>
      <w:r>
        <w:rPr>
          <w:i/>
          <w:iCs/>
          <w:color w:val="666666"/>
          <w:sz w:val="14"/>
          <w:szCs w:val="14"/>
        </w:rPr>
        <w:t>For clinical reference only. Verify dosing and recommendations against current local guidelines and primary literature before applying to patient care.</w:t>
      </w:r>
    </w:p>
    <w:sectPr w:rsidR="007A5555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42825"/>
    <w:multiLevelType w:val="hybridMultilevel"/>
    <w:tmpl w:val="AD6A6E88"/>
    <w:lvl w:ilvl="0" w:tplc="DE808752">
      <w:start w:val="1"/>
      <w:numFmt w:val="bullet"/>
      <w:lvlText w:val="●"/>
      <w:lvlJc w:val="left"/>
      <w:pPr>
        <w:ind w:left="720" w:hanging="360"/>
      </w:pPr>
    </w:lvl>
    <w:lvl w:ilvl="1" w:tplc="B4385638">
      <w:start w:val="1"/>
      <w:numFmt w:val="bullet"/>
      <w:lvlText w:val="○"/>
      <w:lvlJc w:val="left"/>
      <w:pPr>
        <w:ind w:left="1440" w:hanging="360"/>
      </w:pPr>
    </w:lvl>
    <w:lvl w:ilvl="2" w:tplc="1B6C7B34">
      <w:start w:val="1"/>
      <w:numFmt w:val="bullet"/>
      <w:lvlText w:val="■"/>
      <w:lvlJc w:val="left"/>
      <w:pPr>
        <w:ind w:left="2160" w:hanging="360"/>
      </w:pPr>
    </w:lvl>
    <w:lvl w:ilvl="3" w:tplc="DB0272FE">
      <w:start w:val="1"/>
      <w:numFmt w:val="bullet"/>
      <w:lvlText w:val="●"/>
      <w:lvlJc w:val="left"/>
      <w:pPr>
        <w:ind w:left="2880" w:hanging="360"/>
      </w:pPr>
    </w:lvl>
    <w:lvl w:ilvl="4" w:tplc="17B28766">
      <w:start w:val="1"/>
      <w:numFmt w:val="bullet"/>
      <w:lvlText w:val="○"/>
      <w:lvlJc w:val="left"/>
      <w:pPr>
        <w:ind w:left="3600" w:hanging="360"/>
      </w:pPr>
    </w:lvl>
    <w:lvl w:ilvl="5" w:tplc="BD6C8772">
      <w:start w:val="1"/>
      <w:numFmt w:val="bullet"/>
      <w:lvlText w:val="■"/>
      <w:lvlJc w:val="left"/>
      <w:pPr>
        <w:ind w:left="4320" w:hanging="360"/>
      </w:pPr>
    </w:lvl>
    <w:lvl w:ilvl="6" w:tplc="88EC6CF4">
      <w:start w:val="1"/>
      <w:numFmt w:val="bullet"/>
      <w:lvlText w:val="●"/>
      <w:lvlJc w:val="left"/>
      <w:pPr>
        <w:ind w:left="5040" w:hanging="360"/>
      </w:pPr>
    </w:lvl>
    <w:lvl w:ilvl="7" w:tplc="24FE6FF2">
      <w:start w:val="1"/>
      <w:numFmt w:val="bullet"/>
      <w:lvlText w:val="●"/>
      <w:lvlJc w:val="left"/>
      <w:pPr>
        <w:ind w:left="5760" w:hanging="360"/>
      </w:pPr>
    </w:lvl>
    <w:lvl w:ilvl="8" w:tplc="FC1ED6F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FD449D8"/>
    <w:multiLevelType w:val="hybridMultilevel"/>
    <w:tmpl w:val="5D26EFB0"/>
    <w:lvl w:ilvl="0" w:tplc="E62A7E92">
      <w:start w:val="1"/>
      <w:numFmt w:val="bullet"/>
      <w:lvlText w:val="•"/>
      <w:lvlJc w:val="left"/>
      <w:pPr>
        <w:ind w:left="180" w:hanging="120"/>
      </w:pPr>
    </w:lvl>
    <w:lvl w:ilvl="1" w:tplc="25A482B4">
      <w:numFmt w:val="decimal"/>
      <w:lvlText w:val=""/>
      <w:lvlJc w:val="left"/>
    </w:lvl>
    <w:lvl w:ilvl="2" w:tplc="A37E9A3A">
      <w:numFmt w:val="decimal"/>
      <w:lvlText w:val=""/>
      <w:lvlJc w:val="left"/>
    </w:lvl>
    <w:lvl w:ilvl="3" w:tplc="1C925614">
      <w:numFmt w:val="decimal"/>
      <w:lvlText w:val=""/>
      <w:lvlJc w:val="left"/>
    </w:lvl>
    <w:lvl w:ilvl="4" w:tplc="9BA8004C">
      <w:numFmt w:val="decimal"/>
      <w:lvlText w:val=""/>
      <w:lvlJc w:val="left"/>
    </w:lvl>
    <w:lvl w:ilvl="5" w:tplc="A4F6D974">
      <w:numFmt w:val="decimal"/>
      <w:lvlText w:val=""/>
      <w:lvlJc w:val="left"/>
    </w:lvl>
    <w:lvl w:ilvl="6" w:tplc="BE2E981E">
      <w:numFmt w:val="decimal"/>
      <w:lvlText w:val=""/>
      <w:lvlJc w:val="left"/>
    </w:lvl>
    <w:lvl w:ilvl="7" w:tplc="55EE0114">
      <w:numFmt w:val="decimal"/>
      <w:lvlText w:val=""/>
      <w:lvlJc w:val="left"/>
    </w:lvl>
    <w:lvl w:ilvl="8" w:tplc="A2EEFF78">
      <w:numFmt w:val="decimal"/>
      <w:lvlText w:val=""/>
      <w:lvlJc w:val="left"/>
    </w:lvl>
  </w:abstractNum>
  <w:num w:numId="1" w16cid:durableId="2020158298">
    <w:abstractNumId w:val="0"/>
    <w:lvlOverride w:ilvl="0">
      <w:startOverride w:val="1"/>
    </w:lvlOverride>
  </w:num>
  <w:num w:numId="2" w16cid:durableId="63421439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55"/>
    <w:rsid w:val="004B0864"/>
    <w:rsid w:val="00745B69"/>
    <w:rsid w:val="007A5555"/>
    <w:rsid w:val="00A736B4"/>
    <w:rsid w:val="00F1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706DA"/>
  <w15:docId w15:val="{8479D161-82BD-724C-A24D-54C840D1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80"/>
      <w:jc w:val="center"/>
      <w:outlineLvl w:val="0"/>
    </w:pPr>
    <w:rPr>
      <w:b/>
      <w:bCs/>
      <w:color w:val="1A237E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1718</Words>
  <Characters>9798</Characters>
  <Application>Microsoft Office Word</Application>
  <DocSecurity>0</DocSecurity>
  <Lines>81</Lines>
  <Paragraphs>22</Paragraphs>
  <ScaleCrop>false</ScaleCrop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Kidney Disease Comprehensive Staging Reference</dc:title>
  <dc:creator>Claude</dc:creator>
  <cp:lastModifiedBy>Stephen Fadem</cp:lastModifiedBy>
  <cp:revision>2</cp:revision>
  <dcterms:created xsi:type="dcterms:W3CDTF">2026-05-03T00:54:00Z</dcterms:created>
  <dcterms:modified xsi:type="dcterms:W3CDTF">2026-05-03T00:54:00Z</dcterms:modified>
</cp:coreProperties>
</file>