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0"/>
        <w:jc w:val="center"/>
      </w:pPr>
      <w:r>
        <w:rPr>
          <w:rFonts w:ascii="Calibri" w:cs="Calibri" w:eastAsia="Calibri" w:hAnsi="Calibri"/>
          <w:b/>
          <w:bCs/>
          <w:color w:val="1F4E79"/>
          <w:sz w:val="40"/>
          <w:szCs w:val="40"/>
        </w:rPr>
        <w:t xml:space="preserve">Nephrology Reference Bibliography</w:t>
      </w:r>
    </w:p>
    <w:p>
      <w:pPr>
        <w:pBdr>
          <w:bottom w:val="single" w:color="1F4E79" w:sz="12" w:space="8"/>
        </w:pBdr>
        <w:spacing w:after="480" w:before="0"/>
        <w:jc w:val="center"/>
      </w:pPr>
      <w:r>
        <w:rPr>
          <w:rFonts w:ascii="Calibri" w:cs="Calibri" w:eastAsia="Calibri" w:hAnsi="Calibri"/>
          <w:i/>
          <w:iCs/>
          <w:color w:val="404040"/>
          <w:sz w:val="24"/>
          <w:szCs w:val="24"/>
        </w:rPr>
        <w:t xml:space="preserve">Foundational, Landmark, and Practice-Changing Literature</w:t>
      </w:r>
    </w:p>
    <w:p>
      <w:pPr>
        <w:pStyle w:val="Heading1"/>
        <w:pBdr>
          <w:bottom w:val="single" w:color="1F4E79" w:sz="8" w:space="4"/>
        </w:pBdr>
        <w:spacing w:after="180" w:before="360"/>
      </w:pPr>
      <w:r>
        <w:rPr>
          <w:rFonts w:ascii="Calibri" w:cs="Calibri" w:eastAsia="Calibri" w:hAnsi="Calibri"/>
          <w:b/>
          <w:bCs/>
          <w:color w:val="1F4E79"/>
          <w:sz w:val="28"/>
          <w:szCs w:val="28"/>
        </w:rPr>
        <w:t xml:space="preserve">CHRONIC KIDNEY DISEASE — DEFINITIONS &amp; PROGNOSIS</w:t>
      </w:r>
    </w:p>
    <w:p>
      <w:pPr>
        <w:spacing w:after="60" w:before="60" w:line="276"/>
        <w:ind w:left="720" w:hanging="720"/>
      </w:pPr>
      <w:r>
        <w:rPr>
          <w:rFonts w:ascii="Calibri" w:cs="Calibri" w:eastAsia="Calibri" w:hAnsi="Calibri"/>
          <w:b/>
          <w:bCs/>
          <w:sz w:val="22"/>
          <w:szCs w:val="22"/>
        </w:rPr>
        <w:t xml:space="preserve">1.	</w:t>
      </w:r>
      <w:r>
        <w:rPr>
          <w:rFonts w:ascii="Calibri" w:cs="Calibri" w:eastAsia="Calibri" w:hAnsi="Calibri"/>
          <w:sz w:val="22"/>
          <w:szCs w:val="22"/>
        </w:rPr>
        <w:t xml:space="preserve">Levey AS, Coresh J, Balk E, Kausz AT, Levin A, Steffes MW, Hogg RJ, Perrone RD, Lau J and Eknoyan G (2003) National Kidney Foundation practice guidelines for chronic kidney disease: evaluation, classification, and stratification. Annals of Internal Medicine, 139(2), pp.137–147. doi:10.7326/0003-4819-139-2-200307150-00013.</w:t>
      </w:r>
    </w:p>
    <w:p>
      <w:pPr>
        <w:spacing w:after="120" w:before="0"/>
        <w:ind w:left="720"/>
      </w:pPr>
      <w:r>
        <w:rPr>
          <w:rFonts w:ascii="Calibri" w:cs="Calibri" w:eastAsia="Calibri" w:hAnsi="Calibri"/>
          <w:b/>
          <w:bCs/>
          <w:i/>
          <w:iCs/>
          <w:color w:val="C00000"/>
          <w:sz w:val="20"/>
          <w:szCs w:val="20"/>
        </w:rPr>
        <w:t xml:space="preserve">Foundational</w:t>
      </w:r>
    </w:p>
    <w:p>
      <w:pPr>
        <w:spacing w:after="60" w:before="60" w:line="276"/>
        <w:ind w:left="720" w:hanging="720"/>
      </w:pPr>
      <w:r>
        <w:rPr>
          <w:rFonts w:ascii="Calibri" w:cs="Calibri" w:eastAsia="Calibri" w:hAnsi="Calibri"/>
          <w:b/>
          <w:bCs/>
          <w:sz w:val="22"/>
          <w:szCs w:val="22"/>
        </w:rPr>
        <w:t xml:space="preserve">2.	</w:t>
      </w:r>
      <w:r>
        <w:rPr>
          <w:rFonts w:ascii="Calibri" w:cs="Calibri" w:eastAsia="Calibri" w:hAnsi="Calibri"/>
          <w:sz w:val="22"/>
          <w:szCs w:val="22"/>
        </w:rPr>
        <w:t xml:space="preserve">Levey AS, Stevens LA, Schmid CH, Zhang YL, Castro AF, Feldman HI, Kusek JW, Eggers P, Van Lente F, Greene T and Coresh J (2009) A new equation to estimate glomerular filtration rate. Annals of Internal Medicine, 150(9), pp.604–612. doi:10.7326/0003-4819-150-9-200905050-00006.</w:t>
      </w:r>
    </w:p>
    <w:p>
      <w:pPr>
        <w:spacing w:after="120" w:before="0"/>
        <w:ind w:left="720"/>
      </w:pPr>
      <w:r>
        <w:rPr>
          <w:rFonts w:ascii="Calibri" w:cs="Calibri" w:eastAsia="Calibri" w:hAnsi="Calibri"/>
          <w:b/>
          <w:bCs/>
          <w:i/>
          <w:iCs/>
          <w:color w:val="C00000"/>
          <w:sz w:val="20"/>
          <w:szCs w:val="20"/>
        </w:rPr>
        <w:t xml:space="preserve">Landmark Method</w:t>
      </w:r>
    </w:p>
    <w:p>
      <w:pPr>
        <w:spacing w:after="60" w:before="60" w:line="276"/>
        <w:ind w:left="720" w:hanging="720"/>
      </w:pPr>
      <w:r>
        <w:rPr>
          <w:rFonts w:ascii="Calibri" w:cs="Calibri" w:eastAsia="Calibri" w:hAnsi="Calibri"/>
          <w:b/>
          <w:bCs/>
          <w:sz w:val="22"/>
          <w:szCs w:val="22"/>
        </w:rPr>
        <w:t xml:space="preserve">3.	</w:t>
      </w:r>
      <w:r>
        <w:rPr>
          <w:rFonts w:ascii="Calibri" w:cs="Calibri" w:eastAsia="Calibri" w:hAnsi="Calibri"/>
          <w:sz w:val="22"/>
          <w:szCs w:val="22"/>
        </w:rPr>
        <w:t xml:space="preserve">Go AS, Chertow GM, Fan D, McCulloch CE and Hsu CY (2004) Chronic kidney disease and the risks of death, cardiovascular events, and hospitalization. New England Journal of Medicine, 351(13), pp.1296–1305. doi:10.1056/NEJMoa041031.</w:t>
      </w:r>
    </w:p>
    <w:p>
      <w:pPr>
        <w:spacing w:after="120" w:before="0"/>
        <w:ind w:left="720"/>
      </w:pPr>
      <w:r>
        <w:rPr>
          <w:rFonts w:ascii="Calibri" w:cs="Calibri" w:eastAsia="Calibri" w:hAnsi="Calibri"/>
          <w:b/>
          <w:bCs/>
          <w:i/>
          <w:iCs/>
          <w:color w:val="C00000"/>
          <w:sz w:val="20"/>
          <w:szCs w:val="20"/>
        </w:rPr>
        <w:t xml:space="preserve">Landmark</w:t>
      </w:r>
    </w:p>
    <w:p>
      <w:pPr>
        <w:spacing w:after="60" w:before="60" w:line="276"/>
        <w:ind w:left="720" w:hanging="720"/>
      </w:pPr>
      <w:r>
        <w:rPr>
          <w:rFonts w:ascii="Calibri" w:cs="Calibri" w:eastAsia="Calibri" w:hAnsi="Calibri"/>
          <w:b/>
          <w:bCs/>
          <w:sz w:val="22"/>
          <w:szCs w:val="22"/>
        </w:rPr>
        <w:t xml:space="preserve">4.	</w:t>
      </w:r>
      <w:r>
        <w:rPr>
          <w:rFonts w:ascii="Calibri" w:cs="Calibri" w:eastAsia="Calibri" w:hAnsi="Calibri"/>
          <w:sz w:val="22"/>
          <w:szCs w:val="22"/>
        </w:rPr>
        <w:t xml:space="preserve">Matsushita K, van der Velde M, Astor BC, Woodward M, Levey AS, de Jong PE, Coresh J and Gansevoort RT (2010) Association of estimated glomerular filtration rate and albuminuria with all-cause and cardiovascular mortality. Lancet, 375(9731), pp.2073–2081. doi:10.1016/S0140-6736(10)60674-5.</w:t>
      </w:r>
    </w:p>
    <w:p>
      <w:pPr>
        <w:spacing w:after="120" w:before="0"/>
        <w:ind w:left="720"/>
      </w:pPr>
      <w:r>
        <w:rPr>
          <w:rFonts w:ascii="Calibri" w:cs="Calibri" w:eastAsia="Calibri" w:hAnsi="Calibri"/>
          <w:b/>
          <w:bCs/>
          <w:i/>
          <w:iCs/>
          <w:color w:val="C00000"/>
          <w:sz w:val="20"/>
          <w:szCs w:val="20"/>
        </w:rPr>
        <w:t xml:space="preserve">Foundational Prognosis</w:t>
      </w:r>
    </w:p>
    <w:p>
      <w:pPr>
        <w:spacing w:after="60" w:before="60" w:line="276"/>
        <w:ind w:left="720" w:hanging="720"/>
      </w:pPr>
      <w:r>
        <w:rPr>
          <w:rFonts w:ascii="Calibri" w:cs="Calibri" w:eastAsia="Calibri" w:hAnsi="Calibri"/>
          <w:b/>
          <w:bCs/>
          <w:sz w:val="22"/>
          <w:szCs w:val="22"/>
        </w:rPr>
        <w:t xml:space="preserve">5.	</w:t>
      </w:r>
      <w:r>
        <w:rPr>
          <w:rFonts w:ascii="Calibri" w:cs="Calibri" w:eastAsia="Calibri" w:hAnsi="Calibri"/>
          <w:sz w:val="22"/>
          <w:szCs w:val="22"/>
        </w:rPr>
        <w:t xml:space="preserve">Kidney Disease: Improving Global Outcomes (KDIGO) CKD Work Group (2013) KDIGO 2012 clinical practice guideline for the evaluation and management of chronic kidney disease. Kidney International Supplements, 3(1), pp.1–150. doi:10.1038/kisup.2012.73.</w:t>
      </w:r>
    </w:p>
    <w:p>
      <w:pPr>
        <w:spacing w:after="120" w:before="0"/>
        <w:ind w:left="720"/>
      </w:pPr>
      <w:r>
        <w:rPr>
          <w:rFonts w:ascii="Calibri" w:cs="Calibri" w:eastAsia="Calibri" w:hAnsi="Calibri"/>
          <w:b/>
          <w:bCs/>
          <w:i/>
          <w:iCs/>
          <w:color w:val="C00000"/>
          <w:sz w:val="20"/>
          <w:szCs w:val="20"/>
        </w:rPr>
        <w:t xml:space="preserve">Guideline-Defining</w:t>
      </w:r>
    </w:p>
    <w:p>
      <w:pPr>
        <w:spacing w:after="60" w:before="60" w:line="276"/>
        <w:ind w:left="720" w:hanging="720"/>
      </w:pPr>
      <w:r>
        <w:rPr>
          <w:rFonts w:ascii="Calibri" w:cs="Calibri" w:eastAsia="Calibri" w:hAnsi="Calibri"/>
          <w:b/>
          <w:bCs/>
          <w:sz w:val="22"/>
          <w:szCs w:val="22"/>
        </w:rPr>
        <w:t xml:space="preserve">6.	</w:t>
      </w:r>
      <w:r>
        <w:rPr>
          <w:rFonts w:ascii="Calibri" w:cs="Calibri" w:eastAsia="Calibri" w:hAnsi="Calibri"/>
          <w:sz w:val="22"/>
          <w:szCs w:val="22"/>
        </w:rPr>
        <w:t xml:space="preserve">Kidney Disease: Improving Global Outcomes (KDIGO) CKD Work Group (2024) KDIGO 2024 clinical practice guideline for the evaluation and management of chronic kidney disease. Kidney International, 105(4S), pp.S1–S198.</w:t>
      </w:r>
    </w:p>
    <w:p>
      <w:pPr>
        <w:spacing w:after="120" w:before="0"/>
        <w:ind w:left="720"/>
      </w:pPr>
      <w:r>
        <w:rPr>
          <w:rFonts w:ascii="Calibri" w:cs="Calibri" w:eastAsia="Calibri" w:hAnsi="Calibri"/>
          <w:b/>
          <w:bCs/>
          <w:i/>
          <w:iCs/>
          <w:color w:val="C00000"/>
          <w:sz w:val="20"/>
          <w:szCs w:val="20"/>
        </w:rPr>
        <w:t xml:space="preserve">Guideline-Defining</w:t>
      </w:r>
    </w:p>
    <w:p>
      <w:pPr>
        <w:spacing w:after="60" w:before="60" w:line="276"/>
        <w:ind w:left="720" w:hanging="720"/>
      </w:pPr>
      <w:r>
        <w:rPr>
          <w:rFonts w:ascii="Calibri" w:cs="Calibri" w:eastAsia="Calibri" w:hAnsi="Calibri"/>
          <w:b/>
          <w:bCs/>
          <w:sz w:val="22"/>
          <w:szCs w:val="22"/>
        </w:rPr>
        <w:t xml:space="preserve">7.	</w:t>
      </w:r>
      <w:r>
        <w:rPr>
          <w:rFonts w:ascii="Calibri" w:cs="Calibri" w:eastAsia="Calibri" w:hAnsi="Calibri"/>
          <w:sz w:val="22"/>
          <w:szCs w:val="22"/>
        </w:rPr>
        <w:t xml:space="preserve">Levey AS, de Jong PE, Coresh J, El Nahas M, Astor BC, Matsushita K, Gansevoort RT, Kasiske BL and Eckardt KU (2011) The definition, classification, and prognosis of chronic kidney disease: a KDIGO controversies conference report. Kidney International, 80(1), pp.17–28. doi:10.1038/ki.2010.483.</w:t>
      </w:r>
    </w:p>
    <w:p>
      <w:pPr>
        <w:spacing w:after="120" w:before="0"/>
        <w:ind w:left="720"/>
      </w:pPr>
      <w:r>
        <w:rPr>
          <w:rFonts w:ascii="Calibri" w:cs="Calibri" w:eastAsia="Calibri" w:hAnsi="Calibri"/>
          <w:b/>
          <w:bCs/>
          <w:i/>
          <w:iCs/>
          <w:color w:val="C00000"/>
          <w:sz w:val="20"/>
          <w:szCs w:val="20"/>
        </w:rPr>
        <w:t xml:space="preserve">Foundational Consensus</w:t>
      </w:r>
    </w:p>
    <w:p>
      <w:pPr>
        <w:pStyle w:val="Heading2"/>
        <w:spacing w:after="120" w:before="240"/>
      </w:pPr>
      <w:r>
        <w:rPr>
          <w:rFonts w:ascii="Calibri" w:cs="Calibri" w:eastAsia="Calibri" w:hAnsi="Calibri"/>
          <w:b/>
          <w:bCs/>
          <w:color w:val="2E75B6"/>
          <w:sz w:val="22"/>
          <w:szCs w:val="22"/>
        </w:rPr>
        <w:t xml:space="preserve">DIABETIC KIDNEY DISEASE — RAAS ERA</w:t>
      </w:r>
    </w:p>
    <w:p>
      <w:pPr>
        <w:spacing w:after="60" w:before="60" w:line="276"/>
        <w:ind w:left="720" w:hanging="720"/>
      </w:pPr>
      <w:r>
        <w:rPr>
          <w:rFonts w:ascii="Calibri" w:cs="Calibri" w:eastAsia="Calibri" w:hAnsi="Calibri"/>
          <w:b/>
          <w:bCs/>
          <w:sz w:val="22"/>
          <w:szCs w:val="22"/>
        </w:rPr>
        <w:t xml:space="preserve">8.	</w:t>
      </w:r>
      <w:r>
        <w:rPr>
          <w:rFonts w:ascii="Calibri" w:cs="Calibri" w:eastAsia="Calibri" w:hAnsi="Calibri"/>
          <w:sz w:val="22"/>
          <w:szCs w:val="22"/>
        </w:rPr>
        <w:t xml:space="preserve">Lewis EJ, Hunsicker LG, Clarke WR, Berl T, Pohl MA, Lewis JB, Ritz E, Atkins RC, Rohde R and Raz I (2001) Renoprotective effect of the angiotensin-receptor antagonist irbesartan in patients with nephropathy due to type 2 diabetes. New England Journal of Medicine, 345(12), pp.851–860. doi:10.1056/NEJMoa011303.</w:t>
      </w:r>
    </w:p>
    <w:p>
      <w:pPr>
        <w:spacing w:after="120" w:before="0"/>
        <w:ind w:left="720"/>
      </w:pPr>
      <w:r>
        <w:rPr>
          <w:rFonts w:ascii="Calibri" w:cs="Calibri" w:eastAsia="Calibri" w:hAnsi="Calibri"/>
          <w:b/>
          <w:bCs/>
          <w:i/>
          <w:iCs/>
          <w:color w:val="C00000"/>
          <w:sz w:val="20"/>
          <w:szCs w:val="20"/>
        </w:rPr>
        <w:t xml:space="preserve">Landmark Trial</w:t>
      </w:r>
    </w:p>
    <w:p>
      <w:pPr>
        <w:spacing w:after="60" w:before="60" w:line="276"/>
        <w:ind w:left="720" w:hanging="720"/>
      </w:pPr>
      <w:r>
        <w:rPr>
          <w:rFonts w:ascii="Calibri" w:cs="Calibri" w:eastAsia="Calibri" w:hAnsi="Calibri"/>
          <w:b/>
          <w:bCs/>
          <w:sz w:val="22"/>
          <w:szCs w:val="22"/>
        </w:rPr>
        <w:t xml:space="preserve">9.	</w:t>
      </w:r>
      <w:r>
        <w:rPr>
          <w:rFonts w:ascii="Calibri" w:cs="Calibri" w:eastAsia="Calibri" w:hAnsi="Calibri"/>
          <w:sz w:val="22"/>
          <w:szCs w:val="22"/>
        </w:rPr>
        <w:t xml:space="preserve">Brenner BM, Cooper ME, de Zeeuw D, Keane WF, Mitch WE, Parving HH, Remuzzi G, Snapinn SM, Zhang Z and Shahinfar S (2001) Effects of losartan on renal and cardiovascular outcomes in patients with type 2 diabetes and nephropathy. New England Journal of Medicine, 345(12), pp.861–869. doi:10.1056/NEJMoa011161.</w:t>
      </w:r>
    </w:p>
    <w:p>
      <w:pPr>
        <w:spacing w:after="120" w:before="0"/>
        <w:ind w:left="720"/>
      </w:pPr>
      <w:r>
        <w:rPr>
          <w:rFonts w:ascii="Calibri" w:cs="Calibri" w:eastAsia="Calibri" w:hAnsi="Calibri"/>
          <w:b/>
          <w:bCs/>
          <w:i/>
          <w:iCs/>
          <w:color w:val="C00000"/>
          <w:sz w:val="20"/>
          <w:szCs w:val="20"/>
        </w:rPr>
        <w:t xml:space="preserve">Landmark Trial</w:t>
      </w:r>
    </w:p>
    <w:p>
      <w:pPr>
        <w:spacing w:after="60" w:before="60" w:line="276"/>
        <w:ind w:left="720" w:hanging="720"/>
      </w:pPr>
      <w:r>
        <w:rPr>
          <w:rFonts w:ascii="Calibri" w:cs="Calibri" w:eastAsia="Calibri" w:hAnsi="Calibri"/>
          <w:b/>
          <w:bCs/>
          <w:sz w:val="22"/>
          <w:szCs w:val="22"/>
        </w:rPr>
        <w:t xml:space="preserve">10.	</w:t>
      </w:r>
      <w:r>
        <w:rPr>
          <w:rFonts w:ascii="Calibri" w:cs="Calibri" w:eastAsia="Calibri" w:hAnsi="Calibri"/>
          <w:sz w:val="22"/>
          <w:szCs w:val="22"/>
        </w:rPr>
        <w:t xml:space="preserve">Parving HH, Lehnert H, Bröchner-Mortensen J, Gomis R, Andersen S and Arner P (2001) The effect of irbesartan on the development of diabetic nephropathy in patients with type 2 diabetes. New England Journal of Medicine, 345(12), pp.870–878. doi:10.1056/NEJMoa011489.</w:t>
      </w:r>
    </w:p>
    <w:p>
      <w:pPr>
        <w:spacing w:after="120" w:before="0"/>
        <w:ind w:left="720"/>
      </w:pPr>
      <w:r>
        <w:rPr>
          <w:rFonts w:ascii="Calibri" w:cs="Calibri" w:eastAsia="Calibri" w:hAnsi="Calibri"/>
          <w:b/>
          <w:bCs/>
          <w:i/>
          <w:iCs/>
          <w:color w:val="C00000"/>
          <w:sz w:val="20"/>
          <w:szCs w:val="20"/>
        </w:rPr>
        <w:t xml:space="preserve">Landmark</w:t>
      </w:r>
    </w:p>
    <w:p>
      <w:pPr>
        <w:pStyle w:val="Heading2"/>
        <w:spacing w:after="120" w:before="240"/>
      </w:pPr>
      <w:r>
        <w:rPr>
          <w:rFonts w:ascii="Calibri" w:cs="Calibri" w:eastAsia="Calibri" w:hAnsi="Calibri"/>
          <w:b/>
          <w:bCs/>
          <w:color w:val="2E75B6"/>
          <w:sz w:val="22"/>
          <w:szCs w:val="22"/>
        </w:rPr>
        <w:t xml:space="preserve">SGLT2 INHIBITOR ERA</w:t>
      </w:r>
    </w:p>
    <w:p>
      <w:pPr>
        <w:spacing w:after="60" w:before="60" w:line="276"/>
        <w:ind w:left="720" w:hanging="720"/>
      </w:pPr>
      <w:r>
        <w:rPr>
          <w:rFonts w:ascii="Calibri" w:cs="Calibri" w:eastAsia="Calibri" w:hAnsi="Calibri"/>
          <w:b/>
          <w:bCs/>
          <w:sz w:val="22"/>
          <w:szCs w:val="22"/>
        </w:rPr>
        <w:t xml:space="preserve">11.	</w:t>
      </w:r>
      <w:r>
        <w:rPr>
          <w:rFonts w:ascii="Calibri" w:cs="Calibri" w:eastAsia="Calibri" w:hAnsi="Calibri"/>
          <w:sz w:val="22"/>
          <w:szCs w:val="22"/>
        </w:rPr>
        <w:t xml:space="preserve">Perkovic V, Jardine MJ, Neal B, Bompoint S, Heerspink HJL, Charytan DM, Edwards R, Agarwal R, Bakris G, Bull S et al. (2019) Canagliflozin and renal outcomes in type 2 diabetes and nephropathy. New England Journal of Medicine, 380(24), pp.2295–2306. doi:10.1056/NEJMoa1811744.</w:t>
      </w:r>
    </w:p>
    <w:p>
      <w:pPr>
        <w:spacing w:after="120" w:before="0"/>
        <w:ind w:left="720"/>
      </w:pPr>
      <w:r>
        <w:rPr>
          <w:rFonts w:ascii="Calibri" w:cs="Calibri" w:eastAsia="Calibri" w:hAnsi="Calibri"/>
          <w:b/>
          <w:bCs/>
          <w:i/>
          <w:iCs/>
          <w:color w:val="C00000"/>
          <w:sz w:val="20"/>
          <w:szCs w:val="20"/>
        </w:rPr>
        <w:t xml:space="preserve">Landmark Trial</w:t>
      </w:r>
    </w:p>
    <w:p>
      <w:pPr>
        <w:spacing w:after="60" w:before="60" w:line="276"/>
        <w:ind w:left="720" w:hanging="720"/>
      </w:pPr>
      <w:r>
        <w:rPr>
          <w:rFonts w:ascii="Calibri" w:cs="Calibri" w:eastAsia="Calibri" w:hAnsi="Calibri"/>
          <w:b/>
          <w:bCs/>
          <w:sz w:val="22"/>
          <w:szCs w:val="22"/>
        </w:rPr>
        <w:t xml:space="preserve">12.	</w:t>
      </w:r>
      <w:r>
        <w:rPr>
          <w:rFonts w:ascii="Calibri" w:cs="Calibri" w:eastAsia="Calibri" w:hAnsi="Calibri"/>
          <w:sz w:val="22"/>
          <w:szCs w:val="22"/>
        </w:rPr>
        <w:t xml:space="preserve">Heerspink HJL, Stefánsson BV, Correa-Rotter R, Chertow GM, Greene T, Hou FF, Mann JFE, McMurray JJV, Lindberg M, Rossing P et al. (2020) Dapagliflozin in patients with chronic kidney disease. New England Journal of Medicine, 383(15), pp.1436–1446. doi:10.1056/NEJMoa2024816.</w:t>
      </w:r>
    </w:p>
    <w:p>
      <w:pPr>
        <w:spacing w:after="120" w:before="0"/>
        <w:ind w:left="720"/>
      </w:pPr>
      <w:r>
        <w:rPr>
          <w:rFonts w:ascii="Calibri" w:cs="Calibri" w:eastAsia="Calibri" w:hAnsi="Calibri"/>
          <w:b/>
          <w:bCs/>
          <w:i/>
          <w:iCs/>
          <w:color w:val="C00000"/>
          <w:sz w:val="20"/>
          <w:szCs w:val="20"/>
        </w:rPr>
        <w:t xml:space="preserve">Landmark Trial</w:t>
      </w:r>
    </w:p>
    <w:p>
      <w:pPr>
        <w:spacing w:after="60" w:before="60" w:line="276"/>
        <w:ind w:left="720" w:hanging="720"/>
      </w:pPr>
      <w:r>
        <w:rPr>
          <w:rFonts w:ascii="Calibri" w:cs="Calibri" w:eastAsia="Calibri" w:hAnsi="Calibri"/>
          <w:b/>
          <w:bCs/>
          <w:sz w:val="22"/>
          <w:szCs w:val="22"/>
        </w:rPr>
        <w:t xml:space="preserve">13.	</w:t>
      </w:r>
      <w:r>
        <w:rPr>
          <w:rFonts w:ascii="Calibri" w:cs="Calibri" w:eastAsia="Calibri" w:hAnsi="Calibri"/>
          <w:sz w:val="22"/>
          <w:szCs w:val="22"/>
        </w:rPr>
        <w:t xml:space="preserve">Herrington WG, Staplin N, Wanner C, Green JB, Hauske SJ, Emberson JR, Preiss D, Judge P, Mayne K, Ng SYA et al. (2023) Empagliflozin in patients with chronic kidney disease. New England Journal of Medicine, 388(2), pp.117–127. doi:10.1056/NEJMoa2204233.</w:t>
      </w:r>
    </w:p>
    <w:p>
      <w:pPr>
        <w:spacing w:after="120" w:before="0"/>
        <w:ind w:left="720"/>
      </w:pPr>
      <w:r>
        <w:rPr>
          <w:rFonts w:ascii="Calibri" w:cs="Calibri" w:eastAsia="Calibri" w:hAnsi="Calibri"/>
          <w:b/>
          <w:bCs/>
          <w:i/>
          <w:iCs/>
          <w:color w:val="C00000"/>
          <w:sz w:val="20"/>
          <w:szCs w:val="20"/>
        </w:rPr>
        <w:t xml:space="preserve">Landmark Trial</w:t>
      </w:r>
    </w:p>
    <w:p>
      <w:pPr>
        <w:pStyle w:val="Heading2"/>
        <w:spacing w:after="120" w:before="240"/>
      </w:pPr>
      <w:r>
        <w:rPr>
          <w:rFonts w:ascii="Calibri" w:cs="Calibri" w:eastAsia="Calibri" w:hAnsi="Calibri"/>
          <w:b/>
          <w:bCs/>
          <w:color w:val="2E75B6"/>
          <w:sz w:val="22"/>
          <w:szCs w:val="22"/>
        </w:rPr>
        <w:t xml:space="preserve">NONSTEROIDAL MRAS</w:t>
      </w:r>
    </w:p>
    <w:p>
      <w:pPr>
        <w:spacing w:after="60" w:before="60" w:line="276"/>
        <w:ind w:left="720" w:hanging="720"/>
      </w:pPr>
      <w:r>
        <w:rPr>
          <w:rFonts w:ascii="Calibri" w:cs="Calibri" w:eastAsia="Calibri" w:hAnsi="Calibri"/>
          <w:b/>
          <w:bCs/>
          <w:sz w:val="22"/>
          <w:szCs w:val="22"/>
        </w:rPr>
        <w:t xml:space="preserve">14.	</w:t>
      </w:r>
      <w:r>
        <w:rPr>
          <w:rFonts w:ascii="Calibri" w:cs="Calibri" w:eastAsia="Calibri" w:hAnsi="Calibri"/>
          <w:sz w:val="22"/>
          <w:szCs w:val="22"/>
        </w:rPr>
        <w:t xml:space="preserve">Bakris GL, Agarwal R, Anker SD, Pitt B, Ruilope LM, Rossing P, Joseph A, Kolkhof P, Nowack C and Schloemer P (2020) Effect of finerenone on chronic kidney disease outcomes in type 2 diabetes. New England Journal of Medicine, 383(23), pp.2219–2229. doi:10.1056/NEJMoa2025845.</w:t>
      </w:r>
    </w:p>
    <w:p>
      <w:pPr>
        <w:spacing w:after="120" w:before="0"/>
        <w:ind w:left="720"/>
      </w:pPr>
      <w:r>
        <w:rPr>
          <w:rFonts w:ascii="Calibri" w:cs="Calibri" w:eastAsia="Calibri" w:hAnsi="Calibri"/>
          <w:b/>
          <w:bCs/>
          <w:i/>
          <w:iCs/>
          <w:color w:val="C00000"/>
          <w:sz w:val="20"/>
          <w:szCs w:val="20"/>
        </w:rPr>
        <w:t xml:space="preserve">Practice-Changing</w:t>
      </w:r>
    </w:p>
    <w:p>
      <w:pPr>
        <w:spacing w:after="60" w:before="60" w:line="276"/>
        <w:ind w:left="720" w:hanging="720"/>
      </w:pPr>
      <w:r>
        <w:rPr>
          <w:rFonts w:ascii="Calibri" w:cs="Calibri" w:eastAsia="Calibri" w:hAnsi="Calibri"/>
          <w:b/>
          <w:bCs/>
          <w:sz w:val="22"/>
          <w:szCs w:val="22"/>
        </w:rPr>
        <w:t xml:space="preserve">15.	</w:t>
      </w:r>
      <w:r>
        <w:rPr>
          <w:rFonts w:ascii="Calibri" w:cs="Calibri" w:eastAsia="Calibri" w:hAnsi="Calibri"/>
          <w:sz w:val="22"/>
          <w:szCs w:val="22"/>
        </w:rPr>
        <w:t xml:space="preserve">Pitt B, Filippatos G, Agarwal R, Anker SD, Bakris GL, Rossing P, Joseph A, Kolkhof P and Nowack C (2021) Cardiovascular events with finerenone in kidney disease and type 2 diabetes. New England Journal of Medicine, 385(24), pp.2252–2263. doi:10.1056/NEJMoa2110956.</w:t>
      </w:r>
    </w:p>
    <w:p>
      <w:pPr>
        <w:spacing w:after="120" w:before="0"/>
        <w:ind w:left="720"/>
      </w:pPr>
      <w:r>
        <w:rPr>
          <w:rFonts w:ascii="Calibri" w:cs="Calibri" w:eastAsia="Calibri" w:hAnsi="Calibri"/>
          <w:b/>
          <w:bCs/>
          <w:i/>
          <w:iCs/>
          <w:color w:val="C00000"/>
          <w:sz w:val="20"/>
          <w:szCs w:val="20"/>
        </w:rPr>
        <w:t xml:space="preserve">Practice-Changing</w:t>
      </w:r>
    </w:p>
    <w:p>
      <w:pPr>
        <w:pStyle w:val="Heading2"/>
        <w:spacing w:after="120" w:before="240"/>
      </w:pPr>
      <w:r>
        <w:rPr>
          <w:rFonts w:ascii="Calibri" w:cs="Calibri" w:eastAsia="Calibri" w:hAnsi="Calibri"/>
          <w:b/>
          <w:bCs/>
          <w:color w:val="2E75B6"/>
          <w:sz w:val="22"/>
          <w:szCs w:val="22"/>
        </w:rPr>
        <w:t xml:space="preserve">GLP-1 ERA</w:t>
      </w:r>
    </w:p>
    <w:p>
      <w:pPr>
        <w:spacing w:after="60" w:before="60" w:line="276"/>
        <w:ind w:left="720" w:hanging="720"/>
      </w:pPr>
      <w:r>
        <w:rPr>
          <w:rFonts w:ascii="Calibri" w:cs="Calibri" w:eastAsia="Calibri" w:hAnsi="Calibri"/>
          <w:b/>
          <w:bCs/>
          <w:sz w:val="22"/>
          <w:szCs w:val="22"/>
        </w:rPr>
        <w:t xml:space="preserve">16.	</w:t>
      </w:r>
      <w:r>
        <w:rPr>
          <w:rFonts w:ascii="Calibri" w:cs="Calibri" w:eastAsia="Calibri" w:hAnsi="Calibri"/>
          <w:sz w:val="22"/>
          <w:szCs w:val="22"/>
        </w:rPr>
        <w:t xml:space="preserve">Mann JFE, Ørsted DD, Brown-Frandsen K, Marso SP, Poulter NR, Rasmussen S, Tornøe K and Zinman B (2017) Liraglutide and renal outcomes in type 2 diabetes. New England Journal of Medicine, 377(9), pp.839–848. doi:10.1056/NEJMoa1616011.</w:t>
      </w:r>
    </w:p>
    <w:p>
      <w:pPr>
        <w:spacing w:after="120" w:before="0"/>
        <w:ind w:left="720"/>
      </w:pPr>
      <w:r>
        <w:rPr>
          <w:rFonts w:ascii="Calibri" w:cs="Calibri" w:eastAsia="Calibri" w:hAnsi="Calibri"/>
          <w:b/>
          <w:bCs/>
          <w:i/>
          <w:iCs/>
          <w:color w:val="C00000"/>
          <w:sz w:val="20"/>
          <w:szCs w:val="20"/>
        </w:rPr>
        <w:t xml:space="preserve">Landmark</w:t>
      </w:r>
    </w:p>
    <w:p>
      <w:pPr>
        <w:spacing w:after="60" w:before="60" w:line="276"/>
        <w:ind w:left="720" w:hanging="720"/>
      </w:pPr>
      <w:r>
        <w:rPr>
          <w:rFonts w:ascii="Calibri" w:cs="Calibri" w:eastAsia="Calibri" w:hAnsi="Calibri"/>
          <w:b/>
          <w:bCs/>
          <w:sz w:val="22"/>
          <w:szCs w:val="22"/>
        </w:rPr>
        <w:t xml:space="preserve">17.	</w:t>
      </w:r>
      <w:r>
        <w:rPr>
          <w:rFonts w:ascii="Calibri" w:cs="Calibri" w:eastAsia="Calibri" w:hAnsi="Calibri"/>
          <w:sz w:val="22"/>
          <w:szCs w:val="22"/>
        </w:rPr>
        <w:t xml:space="preserve">Gerstein HC, Colhoun HM, Dagenais GR, Diaz R, Lakshmanan M, Pais P, Probstfield J, Riesmeyer JS, Riddle MC, Rydén L et al. (2019) Dulaglutide and renal outcomes in type 2 diabetes. Lancet, 394(10193), pp.131–138. doi:10.1016/S0140-6736(19)31150-X.</w:t>
      </w:r>
    </w:p>
    <w:p>
      <w:pPr>
        <w:spacing w:after="120" w:before="0"/>
        <w:ind w:left="720"/>
      </w:pPr>
      <w:r>
        <w:rPr>
          <w:rFonts w:ascii="Calibri" w:cs="Calibri" w:eastAsia="Calibri" w:hAnsi="Calibri"/>
          <w:b/>
          <w:bCs/>
          <w:i/>
          <w:iCs/>
          <w:color w:val="C00000"/>
          <w:sz w:val="20"/>
          <w:szCs w:val="20"/>
        </w:rPr>
        <w:t xml:space="preserve">Practice-Changing</w:t>
      </w:r>
    </w:p>
    <w:p>
      <w:pPr>
        <w:pStyle w:val="Heading2"/>
        <w:spacing w:after="120" w:before="240"/>
      </w:pPr>
      <w:r>
        <w:rPr>
          <w:rFonts w:ascii="Calibri" w:cs="Calibri" w:eastAsia="Calibri" w:hAnsi="Calibri"/>
          <w:b/>
          <w:bCs/>
          <w:color w:val="2E75B6"/>
          <w:sz w:val="22"/>
          <w:szCs w:val="22"/>
        </w:rPr>
        <w:t xml:space="preserve">BLOOD PRESSURE &amp; CKD</w:t>
      </w:r>
    </w:p>
    <w:p>
      <w:pPr>
        <w:spacing w:after="60" w:before="60" w:line="276"/>
        <w:ind w:left="720" w:hanging="720"/>
      </w:pPr>
      <w:r>
        <w:rPr>
          <w:rFonts w:ascii="Calibri" w:cs="Calibri" w:eastAsia="Calibri" w:hAnsi="Calibri"/>
          <w:b/>
          <w:bCs/>
          <w:sz w:val="22"/>
          <w:szCs w:val="22"/>
        </w:rPr>
        <w:t xml:space="preserve">18.	</w:t>
      </w:r>
      <w:r>
        <w:rPr>
          <w:rFonts w:ascii="Calibri" w:cs="Calibri" w:eastAsia="Calibri" w:hAnsi="Calibri"/>
          <w:sz w:val="22"/>
          <w:szCs w:val="22"/>
        </w:rPr>
        <w:t xml:space="preserve">Wright JT Jr, Williamson JD, Whelton PK, Snyder JK, Sink KM, Rocco MV, Reboussin DM, Rahman M, Oparil S, Lewis CE et al. (2015) A randomized trial of intensive versus standard blood-pressure control. New England Journal of Medicine, 373(22), pp.2103–2116. doi:10.1056/NEJMoa1511939.</w:t>
      </w:r>
    </w:p>
    <w:p>
      <w:pPr>
        <w:spacing w:after="120" w:before="0"/>
        <w:ind w:left="720"/>
      </w:pPr>
      <w:r>
        <w:rPr>
          <w:rFonts w:ascii="Calibri" w:cs="Calibri" w:eastAsia="Calibri" w:hAnsi="Calibri"/>
          <w:b/>
          <w:bCs/>
          <w:i/>
          <w:iCs/>
          <w:color w:val="C00000"/>
          <w:sz w:val="20"/>
          <w:szCs w:val="20"/>
        </w:rPr>
        <w:t xml:space="preserve">Landmark</w:t>
      </w:r>
    </w:p>
    <w:p>
      <w:pPr>
        <w:spacing w:after="60" w:before="60" w:line="276"/>
        <w:ind w:left="720" w:hanging="720"/>
      </w:pPr>
      <w:r>
        <w:rPr>
          <w:rFonts w:ascii="Calibri" w:cs="Calibri" w:eastAsia="Calibri" w:hAnsi="Calibri"/>
          <w:b/>
          <w:bCs/>
          <w:sz w:val="22"/>
          <w:szCs w:val="22"/>
        </w:rPr>
        <w:t xml:space="preserve">19.	</w:t>
      </w:r>
      <w:r>
        <w:rPr>
          <w:rFonts w:ascii="Calibri" w:cs="Calibri" w:eastAsia="Calibri" w:hAnsi="Calibri"/>
          <w:sz w:val="22"/>
          <w:szCs w:val="22"/>
        </w:rPr>
        <w:t xml:space="preserve">Kidney Disease: Improving Global Outcomes (KDIGO) BP Work Group (2021) KDIGO 2021 clinical practice guideline for the management of blood pressure in chronic kidney disease. Kidney International, 99(3S), pp.S1–S87. doi:10.1016/j.kint.2020.11.003.</w:t>
      </w:r>
    </w:p>
    <w:p>
      <w:pPr>
        <w:spacing w:after="120" w:before="0"/>
        <w:ind w:left="720"/>
      </w:pPr>
      <w:r>
        <w:rPr>
          <w:rFonts w:ascii="Calibri" w:cs="Calibri" w:eastAsia="Calibri" w:hAnsi="Calibri"/>
          <w:b/>
          <w:bCs/>
          <w:i/>
          <w:iCs/>
          <w:color w:val="C00000"/>
          <w:sz w:val="20"/>
          <w:szCs w:val="20"/>
        </w:rPr>
        <w:t xml:space="preserve">Guideline-Defining</w:t>
      </w:r>
    </w:p>
    <w:p>
      <w:pPr>
        <w:pStyle w:val="Heading2"/>
        <w:spacing w:after="120" w:before="240"/>
      </w:pPr>
      <w:r>
        <w:rPr>
          <w:rFonts w:ascii="Calibri" w:cs="Calibri" w:eastAsia="Calibri" w:hAnsi="Calibri"/>
          <w:b/>
          <w:bCs/>
          <w:color w:val="2E75B6"/>
          <w:sz w:val="22"/>
          <w:szCs w:val="22"/>
        </w:rPr>
        <w:t xml:space="preserve">MINERAL BONE DISORDER</w:t>
      </w:r>
    </w:p>
    <w:p>
      <w:pPr>
        <w:spacing w:after="60" w:before="60" w:line="276"/>
        <w:ind w:left="720" w:hanging="720"/>
      </w:pPr>
      <w:r>
        <w:rPr>
          <w:rFonts w:ascii="Calibri" w:cs="Calibri" w:eastAsia="Calibri" w:hAnsi="Calibri"/>
          <w:b/>
          <w:bCs/>
          <w:sz w:val="22"/>
          <w:szCs w:val="22"/>
        </w:rPr>
        <w:t xml:space="preserve">20.	</w:t>
      </w:r>
      <w:r>
        <w:rPr>
          <w:rFonts w:ascii="Calibri" w:cs="Calibri" w:eastAsia="Calibri" w:hAnsi="Calibri"/>
          <w:sz w:val="22"/>
          <w:szCs w:val="22"/>
        </w:rPr>
        <w:t xml:space="preserve">Kidney Disease: Improving Global Outcomes (KDIGO) CKD-MBD Work Group (2009) KDIGO clinical practice guideline for the diagnosis, evaluation, prevention, and treatment of CKD–MBD. Kidney International Supplements, 76(S113), pp.S1–S130.</w:t>
      </w:r>
    </w:p>
    <w:p>
      <w:pPr>
        <w:spacing w:after="120" w:before="0"/>
        <w:ind w:left="720"/>
      </w:pPr>
      <w:r>
        <w:rPr>
          <w:rFonts w:ascii="Calibri" w:cs="Calibri" w:eastAsia="Calibri" w:hAnsi="Calibri"/>
          <w:b/>
          <w:bCs/>
          <w:i/>
          <w:iCs/>
          <w:color w:val="C00000"/>
          <w:sz w:val="20"/>
          <w:szCs w:val="20"/>
        </w:rPr>
        <w:t xml:space="preserve">Guideline-Defining</w:t>
      </w:r>
    </w:p>
    <w:p>
      <w:pPr>
        <w:spacing w:after="60" w:before="60" w:line="276"/>
        <w:ind w:left="720" w:hanging="720"/>
      </w:pPr>
      <w:r>
        <w:rPr>
          <w:rFonts w:ascii="Calibri" w:cs="Calibri" w:eastAsia="Calibri" w:hAnsi="Calibri"/>
          <w:b/>
          <w:bCs/>
          <w:sz w:val="22"/>
          <w:szCs w:val="22"/>
        </w:rPr>
        <w:t xml:space="preserve">21.	</w:t>
      </w:r>
      <w:r>
        <w:rPr>
          <w:rFonts w:ascii="Calibri" w:cs="Calibri" w:eastAsia="Calibri" w:hAnsi="Calibri"/>
          <w:sz w:val="22"/>
          <w:szCs w:val="22"/>
        </w:rPr>
        <w:t xml:space="preserve">Kidney Disease: Improving Global Outcomes (KDIGO) CKD-MBD Update Work Group (2017) KDIGO 2017 clinical practice guideline update for CKD–MBD. Kidney International Supplements, 7(1), pp.1–59. doi:10.1016/j.kisu.2017.04.001.</w:t>
      </w:r>
    </w:p>
    <w:p>
      <w:pPr>
        <w:spacing w:after="120" w:before="0"/>
        <w:ind w:left="720"/>
      </w:pPr>
      <w:r>
        <w:rPr>
          <w:rFonts w:ascii="Calibri" w:cs="Calibri" w:eastAsia="Calibri" w:hAnsi="Calibri"/>
          <w:b/>
          <w:bCs/>
          <w:i/>
          <w:iCs/>
          <w:color w:val="C00000"/>
          <w:sz w:val="20"/>
          <w:szCs w:val="20"/>
        </w:rPr>
        <w:t xml:space="preserve">Guideline-Defining</w:t>
      </w:r>
    </w:p>
    <w:p>
      <w:pPr>
        <w:pStyle w:val="Heading2"/>
        <w:spacing w:after="120" w:before="240"/>
      </w:pPr>
      <w:r>
        <w:rPr>
          <w:rFonts w:ascii="Calibri" w:cs="Calibri" w:eastAsia="Calibri" w:hAnsi="Calibri"/>
          <w:b/>
          <w:bCs/>
          <w:color w:val="2E75B6"/>
          <w:sz w:val="22"/>
          <w:szCs w:val="22"/>
        </w:rPr>
        <w:t xml:space="preserve">EARLY IDENTIFICATION &amp; RISK STRATIFICATION</w:t>
      </w:r>
    </w:p>
    <w:p>
      <w:pPr>
        <w:spacing w:after="60" w:before="60" w:line="276"/>
        <w:ind w:left="720" w:hanging="720"/>
      </w:pPr>
      <w:r>
        <w:rPr>
          <w:rFonts w:ascii="Calibri" w:cs="Calibri" w:eastAsia="Calibri" w:hAnsi="Calibri"/>
          <w:b/>
          <w:bCs/>
          <w:sz w:val="22"/>
          <w:szCs w:val="22"/>
        </w:rPr>
        <w:t xml:space="preserve">22.	</w:t>
      </w:r>
      <w:r>
        <w:rPr>
          <w:rFonts w:ascii="Calibri" w:cs="Calibri" w:eastAsia="Calibri" w:hAnsi="Calibri"/>
          <w:sz w:val="22"/>
          <w:szCs w:val="22"/>
        </w:rPr>
        <w:t xml:space="preserve">Kidney Disease: Improving Global Outcomes (KDIGO) (2021) The case for early identification and intervention of chronic kidney disease: conclusions from a KDIGO controversies conference. Kidney International, 99(1), pp.34–47. doi:10.1016/j.kint.2020.10.012.</w:t>
      </w:r>
    </w:p>
    <w:p>
      <w:pPr>
        <w:spacing w:after="120" w:before="0"/>
        <w:ind w:left="720"/>
      </w:pPr>
      <w:r>
        <w:rPr>
          <w:rFonts w:ascii="Calibri" w:cs="Calibri" w:eastAsia="Calibri" w:hAnsi="Calibri"/>
          <w:b/>
          <w:bCs/>
          <w:i/>
          <w:iCs/>
          <w:color w:val="C00000"/>
          <w:sz w:val="20"/>
          <w:szCs w:val="20"/>
        </w:rPr>
        <w:t xml:space="preserve">Consensus Statement</w:t>
      </w:r>
    </w:p>
    <w:p>
      <w:pPr>
        <w:spacing w:after="60" w:before="60" w:line="276"/>
        <w:ind w:left="720" w:hanging="720"/>
      </w:pPr>
      <w:r>
        <w:rPr>
          <w:rFonts w:ascii="Calibri" w:cs="Calibri" w:eastAsia="Calibri" w:hAnsi="Calibri"/>
          <w:b/>
          <w:bCs/>
          <w:sz w:val="22"/>
          <w:szCs w:val="22"/>
        </w:rPr>
        <w:t xml:space="preserve">23.	</w:t>
      </w:r>
      <w:r>
        <w:rPr>
          <w:rFonts w:ascii="Calibri" w:cs="Calibri" w:eastAsia="Calibri" w:hAnsi="Calibri"/>
          <w:sz w:val="22"/>
          <w:szCs w:val="22"/>
        </w:rPr>
        <w:t xml:space="preserve">Tangri N, Stevens LA, Griffith J, Tighiouart H, Djurdjev O, Naimark D, Levin A and Levey AS (2011) A predictive model for progression of chronic kidney disease to kidney failure. JAMA, 305(15), pp.1553–1559. doi:10.1001/jama.2011.451.</w:t>
      </w:r>
    </w:p>
    <w:p>
      <w:pPr>
        <w:spacing w:after="120" w:before="0"/>
        <w:ind w:left="720"/>
      </w:pPr>
      <w:r>
        <w:rPr>
          <w:rFonts w:ascii="Calibri" w:cs="Calibri" w:eastAsia="Calibri" w:hAnsi="Calibri"/>
          <w:b/>
          <w:bCs/>
          <w:i/>
          <w:iCs/>
          <w:color w:val="C00000"/>
          <w:sz w:val="20"/>
          <w:szCs w:val="20"/>
        </w:rPr>
        <w:t xml:space="preserve">Landmark Risk Model</w:t>
      </w:r>
    </w:p>
    <w:p>
      <w:pPr>
        <w:pStyle w:val="Heading2"/>
        <w:spacing w:after="120" w:before="240"/>
      </w:pPr>
      <w:r>
        <w:rPr>
          <w:rFonts w:ascii="Calibri" w:cs="Calibri" w:eastAsia="Calibri" w:hAnsi="Calibri"/>
          <w:b/>
          <w:bCs/>
          <w:color w:val="2E75B6"/>
          <w:sz w:val="22"/>
          <w:szCs w:val="22"/>
        </w:rPr>
        <w:t xml:space="preserve">CARDIORENAL INTERFACE</w:t>
      </w:r>
    </w:p>
    <w:p>
      <w:pPr>
        <w:spacing w:after="60" w:before="60" w:line="276"/>
        <w:ind w:left="720" w:hanging="720"/>
      </w:pPr>
      <w:r>
        <w:rPr>
          <w:rFonts w:ascii="Calibri" w:cs="Calibri" w:eastAsia="Calibri" w:hAnsi="Calibri"/>
          <w:b/>
          <w:bCs/>
          <w:sz w:val="22"/>
          <w:szCs w:val="22"/>
        </w:rPr>
        <w:t xml:space="preserve">24.	</w:t>
      </w:r>
      <w:r>
        <w:rPr>
          <w:rFonts w:ascii="Calibri" w:cs="Calibri" w:eastAsia="Calibri" w:hAnsi="Calibri"/>
          <w:sz w:val="22"/>
          <w:szCs w:val="22"/>
        </w:rPr>
        <w:t xml:space="preserve">Baigent C, Landray MJ, Reith C, Emberson J, Wheeler DC, Tomson C, Wanner C, Krane V, Cass A, Craig J et al. (2011) The effects of lowering LDL cholesterol with simvastatin plus ezetimibe in patients with chronic kidney disease (SHARP). Lancet, 377(9784), pp.2181–2192. doi:10.1016/S0140-6736(11)60739-3.</w:t>
      </w:r>
    </w:p>
    <w:p>
      <w:pPr>
        <w:spacing w:after="120" w:before="0"/>
        <w:ind w:left="720"/>
      </w:pPr>
      <w:r>
        <w:rPr>
          <w:rFonts w:ascii="Calibri" w:cs="Calibri" w:eastAsia="Calibri" w:hAnsi="Calibri"/>
          <w:b/>
          <w:bCs/>
          <w:i/>
          <w:iCs/>
          <w:color w:val="C00000"/>
          <w:sz w:val="20"/>
          <w:szCs w:val="20"/>
        </w:rPr>
        <w:t xml:space="preserve">Landmark</w:t>
      </w:r>
    </w:p>
    <w:p>
      <w:pPr>
        <w:spacing w:after="60" w:before="60" w:line="276"/>
        <w:ind w:left="720" w:hanging="720"/>
      </w:pPr>
      <w:r>
        <w:rPr>
          <w:rFonts w:ascii="Calibri" w:cs="Calibri" w:eastAsia="Calibri" w:hAnsi="Calibri"/>
          <w:b/>
          <w:bCs/>
          <w:sz w:val="22"/>
          <w:szCs w:val="22"/>
        </w:rPr>
        <w:t xml:space="preserve">25.	</w:t>
      </w:r>
      <w:r>
        <w:rPr>
          <w:rFonts w:ascii="Calibri" w:cs="Calibri" w:eastAsia="Calibri" w:hAnsi="Calibri"/>
          <w:sz w:val="22"/>
          <w:szCs w:val="22"/>
        </w:rPr>
        <w:t xml:space="preserve">McMurray JJV, Solomon SD, Inzucchi SE, Køber L, Kosiborod MN, Martinez FA, Ponikowski P, Sabatine MS, Anand IS, Bělohlávek J et al. (2019) Dapagliflozin in patients with heart failure and reduced ejection fraction. New England Journal of Medicine, 381(21), pp.1995–2008. doi:10.1056/NEJMoa1911303.</w:t>
      </w:r>
    </w:p>
    <w:p>
      <w:pPr>
        <w:spacing w:after="120" w:before="0"/>
        <w:ind w:left="720"/>
      </w:pPr>
      <w:r>
        <w:rPr>
          <w:rFonts w:ascii="Calibri" w:cs="Calibri" w:eastAsia="Calibri" w:hAnsi="Calibri"/>
          <w:b/>
          <w:bCs/>
          <w:i/>
          <w:iCs/>
          <w:color w:val="C00000"/>
          <w:sz w:val="20"/>
          <w:szCs w:val="20"/>
        </w:rPr>
        <w:t xml:space="preserve">Cardiorenal Landmark</w:t>
      </w:r>
    </w:p>
    <w:p>
      <w:pPr>
        <w:pStyle w:val="Heading1"/>
        <w:pBdr>
          <w:bottom w:val="single" w:color="1F4E79" w:sz="8" w:space="4"/>
        </w:pBdr>
        <w:spacing w:after="180" w:before="360"/>
      </w:pPr>
      <w:r>
        <w:rPr>
          <w:rFonts w:ascii="Calibri" w:cs="Calibri" w:eastAsia="Calibri" w:hAnsi="Calibri"/>
          <w:b/>
          <w:bCs/>
          <w:color w:val="1F4E79"/>
          <w:sz w:val="28"/>
          <w:szCs w:val="28"/>
        </w:rPr>
        <w:t xml:space="preserve">ACUTE KIDNEY INJURY &amp; CRITICAL CARE NEPHROLOGY</w:t>
      </w:r>
    </w:p>
    <w:p>
      <w:pPr>
        <w:pStyle w:val="Heading2"/>
        <w:spacing w:after="120" w:before="240"/>
      </w:pPr>
      <w:r>
        <w:rPr>
          <w:rFonts w:ascii="Calibri" w:cs="Calibri" w:eastAsia="Calibri" w:hAnsi="Calibri"/>
          <w:b/>
          <w:bCs/>
          <w:color w:val="2E75B6"/>
          <w:sz w:val="22"/>
          <w:szCs w:val="22"/>
        </w:rPr>
        <w:t xml:space="preserve">DEFINITIONS &amp; CLASSIFICATION</w:t>
      </w:r>
    </w:p>
    <w:p>
      <w:pPr>
        <w:spacing w:after="60" w:before="60" w:line="276"/>
        <w:ind w:left="720" w:hanging="720"/>
      </w:pPr>
      <w:r>
        <w:rPr>
          <w:rFonts w:ascii="Calibri" w:cs="Calibri" w:eastAsia="Calibri" w:hAnsi="Calibri"/>
          <w:b/>
          <w:bCs/>
          <w:sz w:val="22"/>
          <w:szCs w:val="22"/>
        </w:rPr>
        <w:t xml:space="preserve">26.	</w:t>
      </w:r>
      <w:r>
        <w:rPr>
          <w:rFonts w:ascii="Calibri" w:cs="Calibri" w:eastAsia="Calibri" w:hAnsi="Calibri"/>
          <w:sz w:val="22"/>
          <w:szCs w:val="22"/>
        </w:rPr>
        <w:t xml:space="preserve">Bellomo R, Ronco C, Kellum JA, Mehta RL and Palevsky P (2004) Acute renal failure – definition, outcome measures, animal models, fluid therapy and information technology needs: the Second International Consensus Conference of the ADQI Group. Critical Care, 8(4), pp.R204–R212. doi:10.1186/cc2872.</w:t>
      </w:r>
    </w:p>
    <w:p>
      <w:pPr>
        <w:spacing w:after="120" w:before="0"/>
        <w:ind w:left="720"/>
      </w:pPr>
      <w:r>
        <w:rPr>
          <w:rFonts w:ascii="Calibri" w:cs="Calibri" w:eastAsia="Calibri" w:hAnsi="Calibri"/>
          <w:b/>
          <w:bCs/>
          <w:i/>
          <w:iCs/>
          <w:color w:val="C00000"/>
          <w:sz w:val="20"/>
          <w:szCs w:val="20"/>
        </w:rPr>
        <w:t xml:space="preserve">Foundational (RIFLE Criteria)</w:t>
      </w:r>
    </w:p>
    <w:p>
      <w:pPr>
        <w:spacing w:after="60" w:before="60" w:line="276"/>
        <w:ind w:left="720" w:hanging="720"/>
      </w:pPr>
      <w:r>
        <w:rPr>
          <w:rFonts w:ascii="Calibri" w:cs="Calibri" w:eastAsia="Calibri" w:hAnsi="Calibri"/>
          <w:b/>
          <w:bCs/>
          <w:sz w:val="22"/>
          <w:szCs w:val="22"/>
        </w:rPr>
        <w:t xml:space="preserve">27.	</w:t>
      </w:r>
      <w:r>
        <w:rPr>
          <w:rFonts w:ascii="Calibri" w:cs="Calibri" w:eastAsia="Calibri" w:hAnsi="Calibri"/>
          <w:sz w:val="22"/>
          <w:szCs w:val="22"/>
        </w:rPr>
        <w:t xml:space="preserve">Mehta RL, Kellum JA, Shah SV, Molitoris BA, Ronco C, Warnock DG and Levin A (2007) Acute Kidney Injury Network: report of an initiative to improve outcomes in acute kidney injury. Critical Care, 11(2), R31. doi:10.1186/cc5713.</w:t>
      </w:r>
    </w:p>
    <w:p>
      <w:pPr>
        <w:spacing w:after="120" w:before="0"/>
        <w:ind w:left="720"/>
      </w:pPr>
      <w:r>
        <w:rPr>
          <w:rFonts w:ascii="Calibri" w:cs="Calibri" w:eastAsia="Calibri" w:hAnsi="Calibri"/>
          <w:b/>
          <w:bCs/>
          <w:i/>
          <w:iCs/>
          <w:color w:val="C00000"/>
          <w:sz w:val="20"/>
          <w:szCs w:val="20"/>
        </w:rPr>
        <w:t xml:space="preserve">Foundational (AKIN Criteria)</w:t>
      </w:r>
    </w:p>
    <w:p>
      <w:pPr>
        <w:spacing w:after="60" w:before="60" w:line="276"/>
        <w:ind w:left="720" w:hanging="720"/>
      </w:pPr>
      <w:r>
        <w:rPr>
          <w:rFonts w:ascii="Calibri" w:cs="Calibri" w:eastAsia="Calibri" w:hAnsi="Calibri"/>
          <w:b/>
          <w:bCs/>
          <w:sz w:val="22"/>
          <w:szCs w:val="22"/>
        </w:rPr>
        <w:t xml:space="preserve">28.	</w:t>
      </w:r>
      <w:r>
        <w:rPr>
          <w:rFonts w:ascii="Calibri" w:cs="Calibri" w:eastAsia="Calibri" w:hAnsi="Calibri"/>
          <w:sz w:val="22"/>
          <w:szCs w:val="22"/>
        </w:rPr>
        <w:t xml:space="preserve">Kidney Disease: Improving Global Outcomes (KDIGO) AKI Work Group (2012) KDIGO clinical practice guideline for acute kidney injury. Kidney International Supplements, 2(1), pp.1–138. doi:10.1038/kisup.2012.1.</w:t>
      </w:r>
    </w:p>
    <w:p>
      <w:pPr>
        <w:spacing w:after="120" w:before="0"/>
        <w:ind w:left="720"/>
      </w:pPr>
      <w:r>
        <w:rPr>
          <w:rFonts w:ascii="Calibri" w:cs="Calibri" w:eastAsia="Calibri" w:hAnsi="Calibri"/>
          <w:b/>
          <w:bCs/>
          <w:i/>
          <w:iCs/>
          <w:color w:val="C00000"/>
          <w:sz w:val="20"/>
          <w:szCs w:val="20"/>
        </w:rPr>
        <w:t xml:space="preserve">Guideline-Defining</w:t>
      </w:r>
    </w:p>
    <w:p>
      <w:pPr>
        <w:spacing w:after="60" w:before="60" w:line="276"/>
        <w:ind w:left="720" w:hanging="720"/>
      </w:pPr>
      <w:r>
        <w:rPr>
          <w:rFonts w:ascii="Calibri" w:cs="Calibri" w:eastAsia="Calibri" w:hAnsi="Calibri"/>
          <w:b/>
          <w:bCs/>
          <w:sz w:val="22"/>
          <w:szCs w:val="22"/>
        </w:rPr>
        <w:t xml:space="preserve">29.	</w:t>
      </w:r>
      <w:r>
        <w:rPr>
          <w:rFonts w:ascii="Calibri" w:cs="Calibri" w:eastAsia="Calibri" w:hAnsi="Calibri"/>
          <w:sz w:val="22"/>
          <w:szCs w:val="22"/>
        </w:rPr>
        <w:t xml:space="preserve">Kellum JA, Lameire N and the KDIGO AKI Guideline Work Group (2013) Diagnosis, evaluation, and management of acute kidney injury: a KDIGO summary. Critical Care, 17(1), 204. doi:10.1186/cc11454.</w:t>
      </w:r>
    </w:p>
    <w:p>
      <w:pPr>
        <w:spacing w:after="120" w:before="0"/>
        <w:ind w:left="720"/>
      </w:pPr>
      <w:r>
        <w:rPr>
          <w:rFonts w:ascii="Calibri" w:cs="Calibri" w:eastAsia="Calibri" w:hAnsi="Calibri"/>
          <w:b/>
          <w:bCs/>
          <w:i/>
          <w:iCs/>
          <w:color w:val="C00000"/>
          <w:sz w:val="20"/>
          <w:szCs w:val="20"/>
        </w:rPr>
        <w:t xml:space="preserve">Guideline Summary</w:t>
      </w:r>
    </w:p>
    <w:p>
      <w:pPr>
        <w:pStyle w:val="Heading2"/>
        <w:spacing w:after="120" w:before="240"/>
      </w:pPr>
      <w:r>
        <w:rPr>
          <w:rFonts w:ascii="Calibri" w:cs="Calibri" w:eastAsia="Calibri" w:hAnsi="Calibri"/>
          <w:b/>
          <w:bCs/>
          <w:color w:val="2E75B6"/>
          <w:sz w:val="22"/>
          <w:szCs w:val="22"/>
        </w:rPr>
        <w:t xml:space="preserve">EPIDEMIOLOGY &amp; PROGNOSIS</w:t>
      </w:r>
    </w:p>
    <w:p>
      <w:pPr>
        <w:spacing w:after="60" w:before="60" w:line="276"/>
        <w:ind w:left="720" w:hanging="720"/>
      </w:pPr>
      <w:r>
        <w:rPr>
          <w:rFonts w:ascii="Calibri" w:cs="Calibri" w:eastAsia="Calibri" w:hAnsi="Calibri"/>
          <w:b/>
          <w:bCs/>
          <w:sz w:val="22"/>
          <w:szCs w:val="22"/>
        </w:rPr>
        <w:t xml:space="preserve">30.	</w:t>
      </w:r>
      <w:r>
        <w:rPr>
          <w:rFonts w:ascii="Calibri" w:cs="Calibri" w:eastAsia="Calibri" w:hAnsi="Calibri"/>
          <w:sz w:val="22"/>
          <w:szCs w:val="22"/>
        </w:rPr>
        <w:t xml:space="preserve">Chertow GM, Burdick E, Honour M, Bonventre JV and Bates DW (2005) Acute kidney injury, mortality, length of stay, and costs in hospitalized patients. Journal of the American Society of Nephrology, 16(11), pp.3365–3370. doi:10.1681/ASN.2004090740.</w:t>
      </w:r>
    </w:p>
    <w:p>
      <w:pPr>
        <w:spacing w:after="120" w:before="0"/>
        <w:ind w:left="720"/>
      </w:pPr>
      <w:r>
        <w:rPr>
          <w:rFonts w:ascii="Calibri" w:cs="Calibri" w:eastAsia="Calibri" w:hAnsi="Calibri"/>
          <w:b/>
          <w:bCs/>
          <w:i/>
          <w:iCs/>
          <w:color w:val="C00000"/>
          <w:sz w:val="20"/>
          <w:szCs w:val="20"/>
        </w:rPr>
        <w:t xml:space="preserve">Foundational</w:t>
      </w:r>
    </w:p>
    <w:p>
      <w:pPr>
        <w:spacing w:after="60" w:before="60" w:line="276"/>
        <w:ind w:left="720" w:hanging="720"/>
      </w:pPr>
      <w:r>
        <w:rPr>
          <w:rFonts w:ascii="Calibri" w:cs="Calibri" w:eastAsia="Calibri" w:hAnsi="Calibri"/>
          <w:b/>
          <w:bCs/>
          <w:sz w:val="22"/>
          <w:szCs w:val="22"/>
        </w:rPr>
        <w:t xml:space="preserve">31.	</w:t>
      </w:r>
      <w:r>
        <w:rPr>
          <w:rFonts w:ascii="Calibri" w:cs="Calibri" w:eastAsia="Calibri" w:hAnsi="Calibri"/>
          <w:sz w:val="22"/>
          <w:szCs w:val="22"/>
        </w:rPr>
        <w:t xml:space="preserve">Hoste EAJ, Bagshaw SM, Bellomo R, Cely CM, Colman R, Cruz DN, Edipidis K, Forni LG, Gomersall CD, Govil D et al. (2015) Epidemiology of acute kidney injury in critically ill patients. Intensive Care Medicine, 41(8), pp.1411–1423. doi:10.1007/s00134-015-3934-7.</w:t>
      </w:r>
    </w:p>
    <w:p>
      <w:pPr>
        <w:spacing w:after="120" w:before="0"/>
        <w:ind w:left="720"/>
      </w:pPr>
      <w:r>
        <w:rPr>
          <w:rFonts w:ascii="Calibri" w:cs="Calibri" w:eastAsia="Calibri" w:hAnsi="Calibri"/>
          <w:b/>
          <w:bCs/>
          <w:i/>
          <w:iCs/>
          <w:color w:val="C00000"/>
          <w:sz w:val="20"/>
          <w:szCs w:val="20"/>
        </w:rPr>
        <w:t xml:space="preserve">Foundational</w:t>
      </w:r>
    </w:p>
    <w:p>
      <w:pPr>
        <w:spacing w:after="60" w:before="60" w:line="276"/>
        <w:ind w:left="720" w:hanging="720"/>
      </w:pPr>
      <w:r>
        <w:rPr>
          <w:rFonts w:ascii="Calibri" w:cs="Calibri" w:eastAsia="Calibri" w:hAnsi="Calibri"/>
          <w:b/>
          <w:bCs/>
          <w:sz w:val="22"/>
          <w:szCs w:val="22"/>
        </w:rPr>
        <w:t xml:space="preserve">32.	</w:t>
      </w:r>
      <w:r>
        <w:rPr>
          <w:rFonts w:ascii="Calibri" w:cs="Calibri" w:eastAsia="Calibri" w:hAnsi="Calibri"/>
          <w:sz w:val="22"/>
          <w:szCs w:val="22"/>
        </w:rPr>
        <w:t xml:space="preserve">Coca SG, Yusuf B, Shlipak MG, Garg AX and Parikh CR (2009) Long-term risk of mortality and other adverse outcomes after acute kidney injury. American Journal of Kidney Diseases, 53(6), pp.961–973. doi:10.1053/j.ajkd.2008.11.034.</w:t>
      </w:r>
    </w:p>
    <w:p>
      <w:pPr>
        <w:spacing w:after="120" w:before="0"/>
        <w:ind w:left="720"/>
      </w:pPr>
      <w:r>
        <w:rPr>
          <w:rFonts w:ascii="Calibri" w:cs="Calibri" w:eastAsia="Calibri" w:hAnsi="Calibri"/>
          <w:b/>
          <w:bCs/>
          <w:i/>
          <w:iCs/>
          <w:color w:val="C00000"/>
          <w:sz w:val="20"/>
          <w:szCs w:val="20"/>
        </w:rPr>
        <w:t xml:space="preserve">AKI-to-CKD Transition</w:t>
      </w:r>
    </w:p>
    <w:p>
      <w:pPr>
        <w:pStyle w:val="Heading2"/>
        <w:spacing w:after="120" w:before="240"/>
      </w:pPr>
      <w:r>
        <w:rPr>
          <w:rFonts w:ascii="Calibri" w:cs="Calibri" w:eastAsia="Calibri" w:hAnsi="Calibri"/>
          <w:b/>
          <w:bCs/>
          <w:color w:val="2E75B6"/>
          <w:sz w:val="22"/>
          <w:szCs w:val="22"/>
        </w:rPr>
        <w:t xml:space="preserve">RENAL REPLACEMENT THERAPY IN AKI</w:t>
      </w:r>
    </w:p>
    <w:p>
      <w:pPr>
        <w:spacing w:after="60" w:before="60" w:line="276"/>
        <w:ind w:left="720" w:hanging="720"/>
      </w:pPr>
      <w:r>
        <w:rPr>
          <w:rFonts w:ascii="Calibri" w:cs="Calibri" w:eastAsia="Calibri" w:hAnsi="Calibri"/>
          <w:b/>
          <w:bCs/>
          <w:sz w:val="22"/>
          <w:szCs w:val="22"/>
        </w:rPr>
        <w:t xml:space="preserve">33.	</w:t>
      </w:r>
      <w:r>
        <w:rPr>
          <w:rFonts w:ascii="Calibri" w:cs="Calibri" w:eastAsia="Calibri" w:hAnsi="Calibri"/>
          <w:sz w:val="22"/>
          <w:szCs w:val="22"/>
        </w:rPr>
        <w:t xml:space="preserve">Palevsky PM, Zhang JH, O'Connor TZ, Chertow GM, Crowley ST, Choudhury D, Finkel K, Kellum JA, Paganini E, Schein RM et al. (2008) Intensity of renal support in critically ill patients with acute kidney injury. New England Journal of Medicine, 359(1), pp.7–20. doi:10.1056/NEJMoa0802639.</w:t>
      </w:r>
    </w:p>
    <w:p>
      <w:pPr>
        <w:spacing w:after="120" w:before="0"/>
        <w:ind w:left="720"/>
      </w:pPr>
      <w:r>
        <w:rPr>
          <w:rFonts w:ascii="Calibri" w:cs="Calibri" w:eastAsia="Calibri" w:hAnsi="Calibri"/>
          <w:b/>
          <w:bCs/>
          <w:i/>
          <w:iCs/>
          <w:color w:val="C00000"/>
          <w:sz w:val="20"/>
          <w:szCs w:val="20"/>
        </w:rPr>
        <w:t xml:space="preserve">Landmark Trial (ATN Study)</w:t>
      </w:r>
    </w:p>
    <w:p>
      <w:pPr>
        <w:spacing w:after="60" w:before="60" w:line="276"/>
        <w:ind w:left="720" w:hanging="720"/>
      </w:pPr>
      <w:r>
        <w:rPr>
          <w:rFonts w:ascii="Calibri" w:cs="Calibri" w:eastAsia="Calibri" w:hAnsi="Calibri"/>
          <w:b/>
          <w:bCs/>
          <w:sz w:val="22"/>
          <w:szCs w:val="22"/>
        </w:rPr>
        <w:t xml:space="preserve">34.	</w:t>
      </w:r>
      <w:r>
        <w:rPr>
          <w:rFonts w:ascii="Calibri" w:cs="Calibri" w:eastAsia="Calibri" w:hAnsi="Calibri"/>
          <w:sz w:val="22"/>
          <w:szCs w:val="22"/>
        </w:rPr>
        <w:t xml:space="preserve">Ronco C, Bellomo R, Homel P, Brendolan A, Dan M, Piccinni P and La Greca G (2000) Effects of different doses in continuous veno-venous haemofiltration on outcomes of acute renal failure. Lancet, 356(9223), pp.26–30. doi:10.1016/S0140-6736(00)02430-2.</w:t>
      </w:r>
    </w:p>
    <w:p>
      <w:pPr>
        <w:spacing w:after="120" w:before="0"/>
        <w:ind w:left="720"/>
      </w:pPr>
      <w:r>
        <w:rPr>
          <w:rFonts w:ascii="Calibri" w:cs="Calibri" w:eastAsia="Calibri" w:hAnsi="Calibri"/>
          <w:b/>
          <w:bCs/>
          <w:i/>
          <w:iCs/>
          <w:color w:val="C00000"/>
          <w:sz w:val="20"/>
          <w:szCs w:val="20"/>
        </w:rPr>
        <w:t xml:space="preserve">Landmark</w:t>
      </w:r>
    </w:p>
    <w:p>
      <w:pPr>
        <w:spacing w:after="60" w:before="60" w:line="276"/>
        <w:ind w:left="720" w:hanging="720"/>
      </w:pPr>
      <w:r>
        <w:rPr>
          <w:rFonts w:ascii="Calibri" w:cs="Calibri" w:eastAsia="Calibri" w:hAnsi="Calibri"/>
          <w:b/>
          <w:bCs/>
          <w:sz w:val="22"/>
          <w:szCs w:val="22"/>
        </w:rPr>
        <w:t xml:space="preserve">35.	</w:t>
      </w:r>
      <w:r>
        <w:rPr>
          <w:rFonts w:ascii="Calibri" w:cs="Calibri" w:eastAsia="Calibri" w:hAnsi="Calibri"/>
          <w:sz w:val="22"/>
          <w:szCs w:val="22"/>
        </w:rPr>
        <w:t xml:space="preserve">Gaudry S, Hajage D, Schortgen F, Martin-Lefevre L, Pons B, Boulet E, Boyer A, Chevrel G, Lerolle N, Carpentier D et al. (2016) Initiation strategies for renal-replacement therapy in the intensive care unit. New England Journal of Medicine, 375(2), pp.122–133. doi:10.1056/NEJMoa1603017.</w:t>
      </w:r>
    </w:p>
    <w:p>
      <w:pPr>
        <w:spacing w:after="120" w:before="0"/>
        <w:ind w:left="720"/>
      </w:pPr>
      <w:r>
        <w:rPr>
          <w:rFonts w:ascii="Calibri" w:cs="Calibri" w:eastAsia="Calibri" w:hAnsi="Calibri"/>
          <w:b/>
          <w:bCs/>
          <w:i/>
          <w:iCs/>
          <w:color w:val="C00000"/>
          <w:sz w:val="20"/>
          <w:szCs w:val="20"/>
        </w:rPr>
        <w:t xml:space="preserve">Practice-Changing (AKIKI)</w:t>
      </w:r>
    </w:p>
    <w:p>
      <w:pPr>
        <w:spacing w:after="60" w:before="60" w:line="276"/>
        <w:ind w:left="720" w:hanging="720"/>
      </w:pPr>
      <w:r>
        <w:rPr>
          <w:rFonts w:ascii="Calibri" w:cs="Calibri" w:eastAsia="Calibri" w:hAnsi="Calibri"/>
          <w:b/>
          <w:bCs/>
          <w:sz w:val="22"/>
          <w:szCs w:val="22"/>
        </w:rPr>
        <w:t xml:space="preserve">36.	</w:t>
      </w:r>
      <w:r>
        <w:rPr>
          <w:rFonts w:ascii="Calibri" w:cs="Calibri" w:eastAsia="Calibri" w:hAnsi="Calibri"/>
          <w:sz w:val="22"/>
          <w:szCs w:val="22"/>
        </w:rPr>
        <w:t xml:space="preserve">Zarbock A, Kellum JA, Schmidt C, Van Aken H, Wempe C, Pavenstädt H, Boanta A, Gerß J, Meersch M and ELAIN Investigators (2016) Effect of early vs delayed initiation of renal replacement therapy on mortality in critically ill patients with acute kidney injury. JAMA, 315(20), pp.2190–2199. doi:10.1001/jama.2016.5828.</w:t>
      </w:r>
    </w:p>
    <w:p>
      <w:pPr>
        <w:spacing w:after="120" w:before="0"/>
        <w:ind w:left="720"/>
      </w:pPr>
      <w:r>
        <w:rPr>
          <w:rFonts w:ascii="Calibri" w:cs="Calibri" w:eastAsia="Calibri" w:hAnsi="Calibri"/>
          <w:b/>
          <w:bCs/>
          <w:i/>
          <w:iCs/>
          <w:color w:val="C00000"/>
          <w:sz w:val="20"/>
          <w:szCs w:val="20"/>
        </w:rPr>
        <w:t xml:space="preserve">Controversial Landmark</w:t>
      </w:r>
    </w:p>
    <w:p>
      <w:pPr>
        <w:spacing w:after="60" w:before="60" w:line="276"/>
        <w:ind w:left="720" w:hanging="720"/>
      </w:pPr>
      <w:r>
        <w:rPr>
          <w:rFonts w:ascii="Calibri" w:cs="Calibri" w:eastAsia="Calibri" w:hAnsi="Calibri"/>
          <w:b/>
          <w:bCs/>
          <w:sz w:val="22"/>
          <w:szCs w:val="22"/>
        </w:rPr>
        <w:t xml:space="preserve">37.	</w:t>
      </w:r>
      <w:r>
        <w:rPr>
          <w:rFonts w:ascii="Calibri" w:cs="Calibri" w:eastAsia="Calibri" w:hAnsi="Calibri"/>
          <w:sz w:val="22"/>
          <w:szCs w:val="22"/>
        </w:rPr>
        <w:t xml:space="preserve">Barbar SD, Clere-Jehl R, Bourredjem A, Hernu R, Montini F, Bruyère R, Lebert C, Bohé J, Badie J, Eraldi JP et al. (2018) Timing of renal-replacement therapy in patients with acute kidney injury and sepsis. New England Journal of Medicine, 379(15), pp.1431–1442. doi:10.1056/NEJMoa1803213.</w:t>
      </w:r>
    </w:p>
    <w:p>
      <w:pPr>
        <w:spacing w:after="120" w:before="0"/>
        <w:ind w:left="720"/>
      </w:pPr>
      <w:r>
        <w:rPr>
          <w:rFonts w:ascii="Calibri" w:cs="Calibri" w:eastAsia="Calibri" w:hAnsi="Calibri"/>
          <w:b/>
          <w:bCs/>
          <w:i/>
          <w:iCs/>
          <w:color w:val="C00000"/>
          <w:sz w:val="20"/>
          <w:szCs w:val="20"/>
        </w:rPr>
        <w:t xml:space="preserve">Practice-Changing (IDEAL-ICU)</w:t>
      </w:r>
    </w:p>
    <w:p>
      <w:pPr>
        <w:spacing w:after="60" w:before="60" w:line="276"/>
        <w:ind w:left="720" w:hanging="720"/>
      </w:pPr>
      <w:r>
        <w:rPr>
          <w:rFonts w:ascii="Calibri" w:cs="Calibri" w:eastAsia="Calibri" w:hAnsi="Calibri"/>
          <w:b/>
          <w:bCs/>
          <w:sz w:val="22"/>
          <w:szCs w:val="22"/>
        </w:rPr>
        <w:t xml:space="preserve">38.	</w:t>
      </w:r>
      <w:r>
        <w:rPr>
          <w:rFonts w:ascii="Calibri" w:cs="Calibri" w:eastAsia="Calibri" w:hAnsi="Calibri"/>
          <w:sz w:val="22"/>
          <w:szCs w:val="22"/>
        </w:rPr>
        <w:t xml:space="preserve">STARRT-AKI Investigators (2020) Timing of initiation of renal-replacement therapy in acute kidney injury. New England Journal of Medicine, 383(3), pp.240–251. doi:10.1056/NEJMoa2000741.</w:t>
      </w:r>
    </w:p>
    <w:p>
      <w:pPr>
        <w:spacing w:after="120" w:before="0"/>
        <w:ind w:left="720"/>
      </w:pPr>
      <w:r>
        <w:rPr>
          <w:rFonts w:ascii="Calibri" w:cs="Calibri" w:eastAsia="Calibri" w:hAnsi="Calibri"/>
          <w:b/>
          <w:bCs/>
          <w:i/>
          <w:iCs/>
          <w:color w:val="C00000"/>
          <w:sz w:val="20"/>
          <w:szCs w:val="20"/>
        </w:rPr>
        <w:t xml:space="preserve">Landmark (STARRT-AKI)</w:t>
      </w:r>
    </w:p>
    <w:p>
      <w:pPr>
        <w:pStyle w:val="Heading2"/>
        <w:spacing w:after="120" w:before="240"/>
      </w:pPr>
      <w:r>
        <w:rPr>
          <w:rFonts w:ascii="Calibri" w:cs="Calibri" w:eastAsia="Calibri" w:hAnsi="Calibri"/>
          <w:b/>
          <w:bCs/>
          <w:color w:val="2E75B6"/>
          <w:sz w:val="22"/>
          <w:szCs w:val="22"/>
        </w:rPr>
        <w:t xml:space="preserve">SEPSIS-ASSOCIATED AKI</w:t>
      </w:r>
    </w:p>
    <w:p>
      <w:pPr>
        <w:spacing w:after="60" w:before="60" w:line="276"/>
        <w:ind w:left="720" w:hanging="720"/>
      </w:pPr>
      <w:r>
        <w:rPr>
          <w:rFonts w:ascii="Calibri" w:cs="Calibri" w:eastAsia="Calibri" w:hAnsi="Calibri"/>
          <w:b/>
          <w:bCs/>
          <w:sz w:val="22"/>
          <w:szCs w:val="22"/>
        </w:rPr>
        <w:t xml:space="preserve">39.	</w:t>
      </w:r>
      <w:r>
        <w:rPr>
          <w:rFonts w:ascii="Calibri" w:cs="Calibri" w:eastAsia="Calibri" w:hAnsi="Calibri"/>
          <w:sz w:val="22"/>
          <w:szCs w:val="22"/>
        </w:rPr>
        <w:t xml:space="preserve">Bellomo R, Kellum JA and Ronco C (2012) Acute kidney injury in sepsis. Lancet, 380(9843), pp.756–766. doi:10.1016/S0140-6736(12)60630-2.</w:t>
      </w:r>
    </w:p>
    <w:p>
      <w:pPr>
        <w:spacing w:after="120" w:before="0"/>
        <w:ind w:left="720"/>
      </w:pPr>
      <w:r>
        <w:rPr>
          <w:rFonts w:ascii="Calibri" w:cs="Calibri" w:eastAsia="Calibri" w:hAnsi="Calibri"/>
          <w:b/>
          <w:bCs/>
          <w:i/>
          <w:iCs/>
          <w:color w:val="C00000"/>
          <w:sz w:val="20"/>
          <w:szCs w:val="20"/>
        </w:rPr>
        <w:t xml:space="preserve">Mechanistic Classic</w:t>
      </w:r>
    </w:p>
    <w:p>
      <w:pPr>
        <w:spacing w:after="60" w:before="60" w:line="276"/>
        <w:ind w:left="720" w:hanging="720"/>
      </w:pPr>
      <w:r>
        <w:rPr>
          <w:rFonts w:ascii="Calibri" w:cs="Calibri" w:eastAsia="Calibri" w:hAnsi="Calibri"/>
          <w:b/>
          <w:bCs/>
          <w:sz w:val="22"/>
          <w:szCs w:val="22"/>
        </w:rPr>
        <w:t xml:space="preserve">40.	</w:t>
      </w:r>
      <w:r>
        <w:rPr>
          <w:rFonts w:ascii="Calibri" w:cs="Calibri" w:eastAsia="Calibri" w:hAnsi="Calibri"/>
          <w:sz w:val="22"/>
          <w:szCs w:val="22"/>
        </w:rPr>
        <w:t xml:space="preserve">Peerapornratana S, Manrique-Caballero CL, Gómez H and Kellum JA (2019) Acute kidney injury from sepsis: current concepts, epidemiology, pathophysiology, prevention and treatment. Kidney International, 96(5), pp.1083–1099. doi:10.1016/j.kint.2019.05.026.</w:t>
      </w:r>
    </w:p>
    <w:p>
      <w:pPr>
        <w:spacing w:after="120" w:before="0"/>
        <w:ind w:left="720"/>
      </w:pPr>
      <w:r>
        <w:rPr>
          <w:rFonts w:ascii="Calibri" w:cs="Calibri" w:eastAsia="Calibri" w:hAnsi="Calibri"/>
          <w:b/>
          <w:bCs/>
          <w:i/>
          <w:iCs/>
          <w:color w:val="C00000"/>
          <w:sz w:val="20"/>
          <w:szCs w:val="20"/>
        </w:rPr>
        <w:t xml:space="preserve">Foundational Review</w:t>
      </w:r>
    </w:p>
    <w:p>
      <w:pPr>
        <w:pStyle w:val="Heading2"/>
        <w:spacing w:after="120" w:before="240"/>
      </w:pPr>
      <w:r>
        <w:rPr>
          <w:rFonts w:ascii="Calibri" w:cs="Calibri" w:eastAsia="Calibri" w:hAnsi="Calibri"/>
          <w:b/>
          <w:bCs/>
          <w:color w:val="2E75B6"/>
          <w:sz w:val="22"/>
          <w:szCs w:val="22"/>
        </w:rPr>
        <w:t xml:space="preserve">BIOMARKERS &amp; EARLY DETECTION</w:t>
      </w:r>
    </w:p>
    <w:p>
      <w:pPr>
        <w:spacing w:after="60" w:before="60" w:line="276"/>
        <w:ind w:left="720" w:hanging="720"/>
      </w:pPr>
      <w:r>
        <w:rPr>
          <w:rFonts w:ascii="Calibri" w:cs="Calibri" w:eastAsia="Calibri" w:hAnsi="Calibri"/>
          <w:b/>
          <w:bCs/>
          <w:sz w:val="22"/>
          <w:szCs w:val="22"/>
        </w:rPr>
        <w:t xml:space="preserve">41.	</w:t>
      </w:r>
      <w:r>
        <w:rPr>
          <w:rFonts w:ascii="Calibri" w:cs="Calibri" w:eastAsia="Calibri" w:hAnsi="Calibri"/>
          <w:sz w:val="22"/>
          <w:szCs w:val="22"/>
        </w:rPr>
        <w:t xml:space="preserve">Mishra J, Dent C, Tarabishi R, Mitsnefes MM, Ma Q, Kelly C, Ruff SM, Zahedi K, Shao M, Bean J et al. (2005) Neutrophil gelatinase-associated lipocalin (NGAL) as a biomarker for acute renal injury. Lancet, 365(9466), pp.1231–1238. doi:10.1016/S0140-6736(05)74811-X.</w:t>
      </w:r>
    </w:p>
    <w:p>
      <w:pPr>
        <w:spacing w:after="120" w:before="0"/>
        <w:ind w:left="720"/>
      </w:pPr>
      <w:r>
        <w:rPr>
          <w:rFonts w:ascii="Calibri" w:cs="Calibri" w:eastAsia="Calibri" w:hAnsi="Calibri"/>
          <w:b/>
          <w:bCs/>
          <w:i/>
          <w:iCs/>
          <w:color w:val="C00000"/>
          <w:sz w:val="20"/>
          <w:szCs w:val="20"/>
        </w:rPr>
        <w:t xml:space="preserve">Biomarker Landmark</w:t>
      </w:r>
    </w:p>
    <w:p>
      <w:pPr>
        <w:spacing w:after="60" w:before="60" w:line="276"/>
        <w:ind w:left="720" w:hanging="720"/>
      </w:pPr>
      <w:r>
        <w:rPr>
          <w:rFonts w:ascii="Calibri" w:cs="Calibri" w:eastAsia="Calibri" w:hAnsi="Calibri"/>
          <w:b/>
          <w:bCs/>
          <w:sz w:val="22"/>
          <w:szCs w:val="22"/>
        </w:rPr>
        <w:t xml:space="preserve">42.	</w:t>
      </w:r>
      <w:r>
        <w:rPr>
          <w:rFonts w:ascii="Calibri" w:cs="Calibri" w:eastAsia="Calibri" w:hAnsi="Calibri"/>
          <w:sz w:val="22"/>
          <w:szCs w:val="22"/>
        </w:rPr>
        <w:t xml:space="preserve">Kashani K, Al-Khafaji A, Ardiles T, Artigas A, Bagshaw SM, Bell M, Bihorac A, Birkhahn R, Cely CM, Chawla LS et al. (2013) Discovery and validation of cell cycle arrest biomarkers in human acute kidney injury. Critical Care, 17(1), R25. doi:10.1186/cc12503.</w:t>
      </w:r>
    </w:p>
    <w:p>
      <w:pPr>
        <w:spacing w:after="120" w:before="0"/>
        <w:ind w:left="720"/>
      </w:pPr>
      <w:r>
        <w:rPr>
          <w:rFonts w:ascii="Calibri" w:cs="Calibri" w:eastAsia="Calibri" w:hAnsi="Calibri"/>
          <w:b/>
          <w:bCs/>
          <w:i/>
          <w:iCs/>
          <w:color w:val="C00000"/>
          <w:sz w:val="20"/>
          <w:szCs w:val="20"/>
        </w:rPr>
        <w:t xml:space="preserve">Biomarker Landmark</w:t>
      </w:r>
    </w:p>
    <w:p>
      <w:pPr>
        <w:spacing w:after="60" w:before="60" w:line="276"/>
        <w:ind w:left="720" w:hanging="720"/>
      </w:pPr>
      <w:r>
        <w:rPr>
          <w:rFonts w:ascii="Calibri" w:cs="Calibri" w:eastAsia="Calibri" w:hAnsi="Calibri"/>
          <w:b/>
          <w:bCs/>
          <w:sz w:val="22"/>
          <w:szCs w:val="22"/>
        </w:rPr>
        <w:t xml:space="preserve">43.	</w:t>
      </w:r>
      <w:r>
        <w:rPr>
          <w:rFonts w:ascii="Calibri" w:cs="Calibri" w:eastAsia="Calibri" w:hAnsi="Calibri"/>
          <w:sz w:val="22"/>
          <w:szCs w:val="22"/>
        </w:rPr>
        <w:t xml:space="preserve">Haase M, Bellomo R, Devarajan P, Ma Q and Bennett MR (2009) Accuracy of neutrophil gelatinase-associated lipocalin in diagnosis and prognosis in acute kidney injury: a systematic review and meta-analysis. American Journal of Kidney Diseases, 54(6), pp.1012–1024. doi:10.1053/j.ajkd.2009.07.020.</w:t>
      </w:r>
    </w:p>
    <w:p>
      <w:pPr>
        <w:spacing w:after="120" w:before="0"/>
        <w:ind w:left="720"/>
      </w:pPr>
      <w:r>
        <w:rPr>
          <w:rFonts w:ascii="Calibri" w:cs="Calibri" w:eastAsia="Calibri" w:hAnsi="Calibri"/>
          <w:b/>
          <w:bCs/>
          <w:i/>
          <w:iCs/>
          <w:color w:val="C00000"/>
          <w:sz w:val="20"/>
          <w:szCs w:val="20"/>
        </w:rPr>
        <w:t xml:space="preserve">Foundational</w:t>
      </w:r>
    </w:p>
    <w:p>
      <w:pPr>
        <w:pStyle w:val="Heading2"/>
        <w:spacing w:after="120" w:before="240"/>
      </w:pPr>
      <w:r>
        <w:rPr>
          <w:rFonts w:ascii="Calibri" w:cs="Calibri" w:eastAsia="Calibri" w:hAnsi="Calibri"/>
          <w:b/>
          <w:bCs/>
          <w:color w:val="2E75B6"/>
          <w:sz w:val="22"/>
          <w:szCs w:val="22"/>
        </w:rPr>
        <w:t xml:space="preserve">AKI TO CKD TRANSITION</w:t>
      </w:r>
    </w:p>
    <w:p>
      <w:pPr>
        <w:spacing w:after="60" w:before="60" w:line="276"/>
        <w:ind w:left="720" w:hanging="720"/>
      </w:pPr>
      <w:r>
        <w:rPr>
          <w:rFonts w:ascii="Calibri" w:cs="Calibri" w:eastAsia="Calibri" w:hAnsi="Calibri"/>
          <w:b/>
          <w:bCs/>
          <w:sz w:val="22"/>
          <w:szCs w:val="22"/>
        </w:rPr>
        <w:t xml:space="preserve">44.	</w:t>
      </w:r>
      <w:r>
        <w:rPr>
          <w:rFonts w:ascii="Calibri" w:cs="Calibri" w:eastAsia="Calibri" w:hAnsi="Calibri"/>
          <w:sz w:val="22"/>
          <w:szCs w:val="22"/>
        </w:rPr>
        <w:t xml:space="preserve">Hsu CY and Hsu RK (2016) The role of acute kidney injury in chronic kidney disease. Seminars in Nephrology, 36(4), pp.283–292. doi:10.1016/j.semnephrol.2016.05.005.</w:t>
      </w:r>
    </w:p>
    <w:p>
      <w:pPr>
        <w:spacing w:after="120" w:before="0"/>
        <w:ind w:left="720"/>
      </w:pPr>
      <w:r>
        <w:rPr>
          <w:rFonts w:ascii="Calibri" w:cs="Calibri" w:eastAsia="Calibri" w:hAnsi="Calibri"/>
          <w:b/>
          <w:bCs/>
          <w:i/>
          <w:iCs/>
          <w:color w:val="C00000"/>
          <w:sz w:val="20"/>
          <w:szCs w:val="20"/>
        </w:rPr>
        <w:t xml:space="preserve">Foundational</w:t>
      </w:r>
    </w:p>
    <w:p>
      <w:pPr>
        <w:spacing w:after="60" w:before="60" w:line="276"/>
        <w:ind w:left="720" w:hanging="720"/>
      </w:pPr>
      <w:r>
        <w:rPr>
          <w:rFonts w:ascii="Calibri" w:cs="Calibri" w:eastAsia="Calibri" w:hAnsi="Calibri"/>
          <w:b/>
          <w:bCs/>
          <w:sz w:val="22"/>
          <w:szCs w:val="22"/>
        </w:rPr>
        <w:t xml:space="preserve">45.	</w:t>
      </w:r>
      <w:r>
        <w:rPr>
          <w:rFonts w:ascii="Calibri" w:cs="Calibri" w:eastAsia="Calibri" w:hAnsi="Calibri"/>
          <w:sz w:val="22"/>
          <w:szCs w:val="22"/>
        </w:rPr>
        <w:t xml:space="preserve">Chawla LS, Eggers PW, Star RA and Kimmel PL (2014) Acute kidney injury and chronic kidney disease as interconnected syndromes. New England Journal of Medicine, 371(1), pp.58–66. doi:10.1056/NEJMra1214243.</w:t>
      </w:r>
    </w:p>
    <w:p>
      <w:pPr>
        <w:spacing w:after="120" w:before="0"/>
        <w:ind w:left="720"/>
      </w:pPr>
      <w:r>
        <w:rPr>
          <w:rFonts w:ascii="Calibri" w:cs="Calibri" w:eastAsia="Calibri" w:hAnsi="Calibri"/>
          <w:b/>
          <w:bCs/>
          <w:i/>
          <w:iCs/>
          <w:color w:val="C00000"/>
          <w:sz w:val="20"/>
          <w:szCs w:val="20"/>
        </w:rPr>
        <w:t xml:space="preserve">Mechanistic Classic</w:t>
      </w:r>
    </w:p>
    <w:p>
      <w:pPr>
        <w:pStyle w:val="Heading2"/>
        <w:spacing w:after="120" w:before="240"/>
      </w:pPr>
      <w:r>
        <w:rPr>
          <w:rFonts w:ascii="Calibri" w:cs="Calibri" w:eastAsia="Calibri" w:hAnsi="Calibri"/>
          <w:b/>
          <w:bCs/>
          <w:color w:val="2E75B6"/>
          <w:sz w:val="22"/>
          <w:szCs w:val="22"/>
        </w:rPr>
        <w:t xml:space="preserve">CONTRAST-ASSOCIATED AKI</w:t>
      </w:r>
    </w:p>
    <w:p>
      <w:pPr>
        <w:spacing w:after="60" w:before="60" w:line="276"/>
        <w:ind w:left="720" w:hanging="720"/>
      </w:pPr>
      <w:r>
        <w:rPr>
          <w:rFonts w:ascii="Calibri" w:cs="Calibri" w:eastAsia="Calibri" w:hAnsi="Calibri"/>
          <w:b/>
          <w:bCs/>
          <w:sz w:val="22"/>
          <w:szCs w:val="22"/>
        </w:rPr>
        <w:t xml:space="preserve">46.	</w:t>
      </w:r>
      <w:r>
        <w:rPr>
          <w:rFonts w:ascii="Calibri" w:cs="Calibri" w:eastAsia="Calibri" w:hAnsi="Calibri"/>
          <w:sz w:val="22"/>
          <w:szCs w:val="22"/>
        </w:rPr>
        <w:t xml:space="preserve">Weisbord SD and Palevsky PM (2008) Prevention of contrast-induced nephropathy with volume expansion. Lancet, 372(9656), pp.1037–1043. doi:10.1016/S0140-6736(08)61423-9.</w:t>
      </w:r>
    </w:p>
    <w:p>
      <w:pPr>
        <w:spacing w:after="120" w:before="0"/>
        <w:ind w:left="720"/>
      </w:pPr>
      <w:r>
        <w:rPr>
          <w:rFonts w:ascii="Calibri" w:cs="Calibri" w:eastAsia="Calibri" w:hAnsi="Calibri"/>
          <w:b/>
          <w:bCs/>
          <w:i/>
          <w:iCs/>
          <w:color w:val="C00000"/>
          <w:sz w:val="20"/>
          <w:szCs w:val="20"/>
        </w:rPr>
        <w:t xml:space="preserve">Foundational</w:t>
      </w:r>
    </w:p>
    <w:p>
      <w:pPr>
        <w:spacing w:after="60" w:before="60" w:line="276"/>
        <w:ind w:left="720" w:hanging="720"/>
      </w:pPr>
      <w:r>
        <w:rPr>
          <w:rFonts w:ascii="Calibri" w:cs="Calibri" w:eastAsia="Calibri" w:hAnsi="Calibri"/>
          <w:b/>
          <w:bCs/>
          <w:sz w:val="22"/>
          <w:szCs w:val="22"/>
        </w:rPr>
        <w:t xml:space="preserve">47.	</w:t>
      </w:r>
      <w:r>
        <w:rPr>
          <w:rFonts w:ascii="Calibri" w:cs="Calibri" w:eastAsia="Calibri" w:hAnsi="Calibri"/>
          <w:sz w:val="22"/>
          <w:szCs w:val="22"/>
        </w:rPr>
        <w:t xml:space="preserve">Nijssen EC, Nelemans PJ, Rennenberg RJ, van Ommen V, Wildberger JE and Prokop M (2017) Prophylactic hydration to protect renal function from intravascular iodinated contrast material. New England Journal of Medicine, 376(8), pp.684–694. doi:10.1056/NEJMoa1611918.</w:t>
      </w:r>
    </w:p>
    <w:p>
      <w:pPr>
        <w:spacing w:after="120" w:before="0"/>
        <w:ind w:left="720"/>
      </w:pPr>
      <w:r>
        <w:rPr>
          <w:rFonts w:ascii="Calibri" w:cs="Calibri" w:eastAsia="Calibri" w:hAnsi="Calibri"/>
          <w:b/>
          <w:bCs/>
          <w:i/>
          <w:iCs/>
          <w:color w:val="C00000"/>
          <w:sz w:val="20"/>
          <w:szCs w:val="20"/>
        </w:rPr>
        <w:t xml:space="preserve">Practice-Changing</w:t>
      </w:r>
    </w:p>
    <w:p>
      <w:pPr>
        <w:pStyle w:val="Heading2"/>
        <w:spacing w:after="120" w:before="240"/>
      </w:pPr>
      <w:r>
        <w:rPr>
          <w:rFonts w:ascii="Calibri" w:cs="Calibri" w:eastAsia="Calibri" w:hAnsi="Calibri"/>
          <w:b/>
          <w:bCs/>
          <w:color w:val="2E75B6"/>
          <w:sz w:val="22"/>
          <w:szCs w:val="22"/>
        </w:rPr>
        <w:t xml:space="preserve">CARDIORENAL &amp; CONGESTION</w:t>
      </w:r>
    </w:p>
    <w:p>
      <w:pPr>
        <w:spacing w:after="60" w:before="60" w:line="276"/>
        <w:ind w:left="720" w:hanging="720"/>
      </w:pPr>
      <w:r>
        <w:rPr>
          <w:rFonts w:ascii="Calibri" w:cs="Calibri" w:eastAsia="Calibri" w:hAnsi="Calibri"/>
          <w:b/>
          <w:bCs/>
          <w:sz w:val="22"/>
          <w:szCs w:val="22"/>
        </w:rPr>
        <w:t xml:space="preserve">48.	</w:t>
      </w:r>
      <w:r>
        <w:rPr>
          <w:rFonts w:ascii="Calibri" w:cs="Calibri" w:eastAsia="Calibri" w:hAnsi="Calibri"/>
          <w:sz w:val="22"/>
          <w:szCs w:val="22"/>
        </w:rPr>
        <w:t xml:space="preserve">Damman K, Testani JM, Gupta S, Tang WHW and Mullens W (2014) Congestion in chronic heart failure: new insights into an old problem. European Journal of Heart Failure, 16(6), pp.563–575. doi:10.1002/ejhf.90.</w:t>
      </w:r>
    </w:p>
    <w:p>
      <w:pPr>
        <w:spacing w:after="120" w:before="0"/>
        <w:ind w:left="720"/>
      </w:pPr>
      <w:r>
        <w:rPr>
          <w:rFonts w:ascii="Calibri" w:cs="Calibri" w:eastAsia="Calibri" w:hAnsi="Calibri"/>
          <w:b/>
          <w:bCs/>
          <w:i/>
          <w:iCs/>
          <w:color w:val="C00000"/>
          <w:sz w:val="20"/>
          <w:szCs w:val="20"/>
        </w:rPr>
        <w:t xml:space="preserve">Cardiorenal Foundational</w:t>
      </w:r>
    </w:p>
    <w:p>
      <w:pPr>
        <w:spacing w:after="60" w:before="60" w:line="276"/>
        <w:ind w:left="720" w:hanging="720"/>
      </w:pPr>
      <w:r>
        <w:rPr>
          <w:rFonts w:ascii="Calibri" w:cs="Calibri" w:eastAsia="Calibri" w:hAnsi="Calibri"/>
          <w:b/>
          <w:bCs/>
          <w:sz w:val="22"/>
          <w:szCs w:val="22"/>
        </w:rPr>
        <w:t xml:space="preserve">49.	</w:t>
      </w:r>
      <w:r>
        <w:rPr>
          <w:rFonts w:ascii="Calibri" w:cs="Calibri" w:eastAsia="Calibri" w:hAnsi="Calibri"/>
          <w:sz w:val="22"/>
          <w:szCs w:val="22"/>
        </w:rPr>
        <w:t xml:space="preserve">House AA, Anand I, Bellomo R, Cruz D, Bobek I, Anker SD, Aspromonte N, Bagshaw SM, Berl T, Chioncel O et al. (2019) Definition and classification of cardiorenal syndromes. Kidney International, 95(6), pp.1304–1316. doi:10.1016/j.kint.2019.02.033.</w:t>
      </w:r>
    </w:p>
    <w:p>
      <w:pPr>
        <w:spacing w:after="120" w:before="0"/>
        <w:ind w:left="720"/>
      </w:pPr>
      <w:r>
        <w:rPr>
          <w:rFonts w:ascii="Calibri" w:cs="Calibri" w:eastAsia="Calibri" w:hAnsi="Calibri"/>
          <w:b/>
          <w:bCs/>
          <w:i/>
          <w:iCs/>
          <w:color w:val="C00000"/>
          <w:sz w:val="20"/>
          <w:szCs w:val="20"/>
        </w:rPr>
        <w:t xml:space="preserve">Foundational Consensus</w:t>
      </w:r>
    </w:p>
    <w:p>
      <w:pPr>
        <w:pStyle w:val="Heading2"/>
        <w:spacing w:after="120" w:before="240"/>
      </w:pPr>
      <w:r>
        <w:rPr>
          <w:rFonts w:ascii="Calibri" w:cs="Calibri" w:eastAsia="Calibri" w:hAnsi="Calibri"/>
          <w:b/>
          <w:bCs/>
          <w:color w:val="2E75B6"/>
          <w:sz w:val="22"/>
          <w:szCs w:val="22"/>
        </w:rPr>
        <w:t xml:space="preserve">ICU FLUID STRATEGY &amp; AKI</w:t>
      </w:r>
    </w:p>
    <w:p>
      <w:pPr>
        <w:spacing w:after="60" w:before="60" w:line="276"/>
        <w:ind w:left="720" w:hanging="720"/>
      </w:pPr>
      <w:r>
        <w:rPr>
          <w:rFonts w:ascii="Calibri" w:cs="Calibri" w:eastAsia="Calibri" w:hAnsi="Calibri"/>
          <w:b/>
          <w:bCs/>
          <w:sz w:val="22"/>
          <w:szCs w:val="22"/>
        </w:rPr>
        <w:t xml:space="preserve">50.	</w:t>
      </w:r>
      <w:r>
        <w:rPr>
          <w:rFonts w:ascii="Calibri" w:cs="Calibri" w:eastAsia="Calibri" w:hAnsi="Calibri"/>
          <w:sz w:val="22"/>
          <w:szCs w:val="22"/>
        </w:rPr>
        <w:t xml:space="preserve">Semler MW, Self WH, Wanderer JP, Ehrenfeld JM, Wang L, Byrne DW, Stollings JL, Kumar AB, Hughes CG, Hernandez A et al. (2018) Balanced crystalloids versus saline in critically ill adults. New England Journal of Medicine, 378(9), pp.829–839. doi:10.1056/NEJMoa1711584.</w:t>
      </w:r>
    </w:p>
    <w:p>
      <w:pPr>
        <w:spacing w:after="120" w:before="0"/>
        <w:ind w:left="720"/>
      </w:pPr>
      <w:r>
        <w:rPr>
          <w:rFonts w:ascii="Calibri" w:cs="Calibri" w:eastAsia="Calibri" w:hAnsi="Calibri"/>
          <w:b/>
          <w:bCs/>
          <w:i/>
          <w:iCs/>
          <w:color w:val="C00000"/>
          <w:sz w:val="20"/>
          <w:szCs w:val="20"/>
        </w:rPr>
        <w:t xml:space="preserve">Practice-Changing (SMART Trial)</w:t>
      </w:r>
    </w:p>
    <w:p>
      <w:pPr>
        <w:pStyle w:val="Heading1"/>
        <w:pBdr>
          <w:bottom w:val="single" w:color="1F4E79" w:sz="8" w:space="4"/>
        </w:pBdr>
        <w:spacing w:after="180" w:before="360"/>
      </w:pPr>
      <w:r>
        <w:rPr>
          <w:rFonts w:ascii="Calibri" w:cs="Calibri" w:eastAsia="Calibri" w:hAnsi="Calibri"/>
          <w:b/>
          <w:bCs/>
          <w:color w:val="1F4E79"/>
          <w:sz w:val="28"/>
          <w:szCs w:val="28"/>
        </w:rPr>
        <w:t xml:space="preserve">GLOMERULONEPHRITIS &amp; IMMUNE KIDNEY DISEASE</w:t>
      </w:r>
    </w:p>
    <w:p>
      <w:pPr>
        <w:pStyle w:val="Heading2"/>
        <w:spacing w:after="120" w:before="240"/>
      </w:pPr>
      <w:r>
        <w:rPr>
          <w:rFonts w:ascii="Calibri" w:cs="Calibri" w:eastAsia="Calibri" w:hAnsi="Calibri"/>
          <w:b/>
          <w:bCs/>
          <w:color w:val="2E75B6"/>
          <w:sz w:val="22"/>
          <w:szCs w:val="22"/>
        </w:rPr>
        <w:t xml:space="preserve">MEMBRANOUS NEPHROPATHY — PLA2R ERA</w:t>
      </w:r>
    </w:p>
    <w:p>
      <w:pPr>
        <w:spacing w:after="60" w:before="60" w:line="276"/>
        <w:ind w:left="720" w:hanging="720"/>
      </w:pPr>
      <w:r>
        <w:rPr>
          <w:rFonts w:ascii="Calibri" w:cs="Calibri" w:eastAsia="Calibri" w:hAnsi="Calibri"/>
          <w:b/>
          <w:bCs/>
          <w:sz w:val="22"/>
          <w:szCs w:val="22"/>
        </w:rPr>
        <w:t xml:space="preserve">51.	</w:t>
      </w:r>
      <w:r>
        <w:rPr>
          <w:rFonts w:ascii="Calibri" w:cs="Calibri" w:eastAsia="Calibri" w:hAnsi="Calibri"/>
          <w:sz w:val="22"/>
          <w:szCs w:val="22"/>
        </w:rPr>
        <w:t xml:space="preserve">Beck LH Jr, Bonegio RGB, Lambeau G, Beck DM, Powell DW, Cummins TD, Klein JB and Salant DJ (2009) M-type phospholipase A2 receptor as target antigen in idiopathic membranous nephropathy. New England Journal of Medicine, 361(1), pp.11–21. doi:10.1056/NEJMoa0810457.</w:t>
      </w:r>
    </w:p>
    <w:p>
      <w:pPr>
        <w:spacing w:after="120" w:before="0"/>
        <w:ind w:left="720"/>
      </w:pPr>
      <w:r>
        <w:rPr>
          <w:rFonts w:ascii="Calibri" w:cs="Calibri" w:eastAsia="Calibri" w:hAnsi="Calibri"/>
          <w:b/>
          <w:bCs/>
          <w:i/>
          <w:iCs/>
          <w:color w:val="C00000"/>
          <w:sz w:val="20"/>
          <w:szCs w:val="20"/>
        </w:rPr>
        <w:t xml:space="preserve">Landmark Discovery</w:t>
      </w:r>
    </w:p>
    <w:p>
      <w:pPr>
        <w:spacing w:after="60" w:before="60" w:line="276"/>
        <w:ind w:left="720" w:hanging="720"/>
      </w:pPr>
      <w:r>
        <w:rPr>
          <w:rFonts w:ascii="Calibri" w:cs="Calibri" w:eastAsia="Calibri" w:hAnsi="Calibri"/>
          <w:b/>
          <w:bCs/>
          <w:sz w:val="22"/>
          <w:szCs w:val="22"/>
        </w:rPr>
        <w:t xml:space="preserve">52.	</w:t>
      </w:r>
      <w:r>
        <w:rPr>
          <w:rFonts w:ascii="Calibri" w:cs="Calibri" w:eastAsia="Calibri" w:hAnsi="Calibri"/>
          <w:sz w:val="22"/>
          <w:szCs w:val="22"/>
        </w:rPr>
        <w:t xml:space="preserve">Hoxha E, Thiele I, Zahner G, Panzer U, Harendza S and Stahl RAK (2014) Phospholipase A2 receptor autoantibodies and clinical outcome in patients with primary membranous nephropathy. Journal of the American Society of Nephrology, 25(6), pp.1357–1366. doi:10.1681/ASN.2013040431.</w:t>
      </w:r>
    </w:p>
    <w:p>
      <w:pPr>
        <w:spacing w:after="120" w:before="0"/>
        <w:ind w:left="720"/>
      </w:pPr>
      <w:r>
        <w:rPr>
          <w:rFonts w:ascii="Calibri" w:cs="Calibri" w:eastAsia="Calibri" w:hAnsi="Calibri"/>
          <w:b/>
          <w:bCs/>
          <w:i/>
          <w:iCs/>
          <w:color w:val="C00000"/>
          <w:sz w:val="20"/>
          <w:szCs w:val="20"/>
        </w:rPr>
        <w:t xml:space="preserve">Practice-Changing</w:t>
      </w:r>
    </w:p>
    <w:p>
      <w:pPr>
        <w:spacing w:after="60" w:before="60" w:line="276"/>
        <w:ind w:left="720" w:hanging="720"/>
      </w:pPr>
      <w:r>
        <w:rPr>
          <w:rFonts w:ascii="Calibri" w:cs="Calibri" w:eastAsia="Calibri" w:hAnsi="Calibri"/>
          <w:b/>
          <w:bCs/>
          <w:sz w:val="22"/>
          <w:szCs w:val="22"/>
        </w:rPr>
        <w:t xml:space="preserve">53.	</w:t>
      </w:r>
      <w:r>
        <w:rPr>
          <w:rFonts w:ascii="Calibri" w:cs="Calibri" w:eastAsia="Calibri" w:hAnsi="Calibri"/>
          <w:sz w:val="22"/>
          <w:szCs w:val="22"/>
        </w:rPr>
        <w:t xml:space="preserve">Fervenza FC, Appel GB, Barbour SJ, Rovin BH, Lafayette RA, Aslam N, Jefferson JA, Gipson PE, Rizk DV, Sedor JR et al. (2019) Rituximab or cyclosporine in the treatment of membranous nephropathy. New England Journal of Medicine, 381(1), pp.36–46. doi:10.1056/NEJMoa1814427.</w:t>
      </w:r>
    </w:p>
    <w:p>
      <w:pPr>
        <w:spacing w:after="120" w:before="0"/>
        <w:ind w:left="720"/>
      </w:pPr>
      <w:r>
        <w:rPr>
          <w:rFonts w:ascii="Calibri" w:cs="Calibri" w:eastAsia="Calibri" w:hAnsi="Calibri"/>
          <w:b/>
          <w:bCs/>
          <w:i/>
          <w:iCs/>
          <w:color w:val="C00000"/>
          <w:sz w:val="20"/>
          <w:szCs w:val="20"/>
        </w:rPr>
        <w:t xml:space="preserve">Landmark Trial (MENTOR)</w:t>
      </w:r>
    </w:p>
    <w:p>
      <w:pPr>
        <w:spacing w:after="60" w:before="60" w:line="276"/>
        <w:ind w:left="720" w:hanging="720"/>
      </w:pPr>
      <w:r>
        <w:rPr>
          <w:rFonts w:ascii="Calibri" w:cs="Calibri" w:eastAsia="Calibri" w:hAnsi="Calibri"/>
          <w:b/>
          <w:bCs/>
          <w:sz w:val="22"/>
          <w:szCs w:val="22"/>
        </w:rPr>
        <w:t xml:space="preserve">54.	</w:t>
      </w:r>
      <w:r>
        <w:rPr>
          <w:rFonts w:ascii="Calibri" w:cs="Calibri" w:eastAsia="Calibri" w:hAnsi="Calibri"/>
          <w:sz w:val="22"/>
          <w:szCs w:val="22"/>
        </w:rPr>
        <w:t xml:space="preserve">KDIGO Glomerular Diseases Work Group (2021) KDIGO 2021 clinical practice guideline for the management of glomerular diseases. Kidney International, 100(4S), pp.S1–S276. doi:10.1016/j.kint.2021.05.021.</w:t>
      </w:r>
    </w:p>
    <w:p>
      <w:pPr>
        <w:spacing w:after="120" w:before="0"/>
        <w:ind w:left="720"/>
      </w:pPr>
      <w:r>
        <w:rPr>
          <w:rFonts w:ascii="Calibri" w:cs="Calibri" w:eastAsia="Calibri" w:hAnsi="Calibri"/>
          <w:b/>
          <w:bCs/>
          <w:i/>
          <w:iCs/>
          <w:color w:val="C00000"/>
          <w:sz w:val="20"/>
          <w:szCs w:val="20"/>
        </w:rPr>
        <w:t xml:space="preserve">Guideline-Defining</w:t>
      </w:r>
    </w:p>
    <w:p>
      <w:pPr>
        <w:pStyle w:val="Heading2"/>
        <w:spacing w:after="120" w:before="240"/>
      </w:pPr>
      <w:r>
        <w:rPr>
          <w:rFonts w:ascii="Calibri" w:cs="Calibri" w:eastAsia="Calibri" w:hAnsi="Calibri"/>
          <w:b/>
          <w:bCs/>
          <w:color w:val="2E75B6"/>
          <w:sz w:val="22"/>
          <w:szCs w:val="22"/>
        </w:rPr>
        <w:t xml:space="preserve">IGA NEPHROPATHY</w:t>
      </w:r>
    </w:p>
    <w:p>
      <w:pPr>
        <w:spacing w:after="60" w:before="60" w:line="276"/>
        <w:ind w:left="720" w:hanging="720"/>
      </w:pPr>
      <w:r>
        <w:rPr>
          <w:rFonts w:ascii="Calibri" w:cs="Calibri" w:eastAsia="Calibri" w:hAnsi="Calibri"/>
          <w:b/>
          <w:bCs/>
          <w:sz w:val="22"/>
          <w:szCs w:val="22"/>
        </w:rPr>
        <w:t xml:space="preserve">55.	</w:t>
      </w:r>
      <w:r>
        <w:rPr>
          <w:rFonts w:ascii="Calibri" w:cs="Calibri" w:eastAsia="Calibri" w:hAnsi="Calibri"/>
          <w:sz w:val="22"/>
          <w:szCs w:val="22"/>
        </w:rPr>
        <w:t xml:space="preserve">Wyatt RJ and Julian BA (2013) IgA nephropathy. New England Journal of Medicine, 368(25), pp.2402–2414. doi:10.1056/NEJMra1206793.</w:t>
      </w:r>
    </w:p>
    <w:p>
      <w:pPr>
        <w:spacing w:after="120" w:before="0"/>
        <w:ind w:left="720"/>
      </w:pPr>
      <w:r>
        <w:rPr>
          <w:rFonts w:ascii="Calibri" w:cs="Calibri" w:eastAsia="Calibri" w:hAnsi="Calibri"/>
          <w:b/>
          <w:bCs/>
          <w:i/>
          <w:iCs/>
          <w:color w:val="C00000"/>
          <w:sz w:val="20"/>
          <w:szCs w:val="20"/>
        </w:rPr>
        <w:t xml:space="preserve">Foundational Review</w:t>
      </w:r>
    </w:p>
    <w:p>
      <w:pPr>
        <w:spacing w:after="60" w:before="60" w:line="276"/>
        <w:ind w:left="720" w:hanging="720"/>
      </w:pPr>
      <w:r>
        <w:rPr>
          <w:rFonts w:ascii="Calibri" w:cs="Calibri" w:eastAsia="Calibri" w:hAnsi="Calibri"/>
          <w:b/>
          <w:bCs/>
          <w:sz w:val="22"/>
          <w:szCs w:val="22"/>
        </w:rPr>
        <w:t xml:space="preserve">56.	</w:t>
      </w:r>
      <w:r>
        <w:rPr>
          <w:rFonts w:ascii="Calibri" w:cs="Calibri" w:eastAsia="Calibri" w:hAnsi="Calibri"/>
          <w:sz w:val="22"/>
          <w:szCs w:val="22"/>
        </w:rPr>
        <w:t xml:space="preserve">Rauen T, Eitner F, Fitzner C, Sommerer C, Zeier M, Otte B, Panzer U, Peters H, Benck U, Mertens PR et al. (2015) Intensive supportive care plus immunosuppression in IgA nephropathy. New England Journal of Medicine, 373(23), pp.2225–2236. doi:10.1056/NEJMoa1415463.</w:t>
      </w:r>
    </w:p>
    <w:p>
      <w:pPr>
        <w:spacing w:after="120" w:before="0"/>
        <w:ind w:left="720"/>
      </w:pPr>
      <w:r>
        <w:rPr>
          <w:rFonts w:ascii="Calibri" w:cs="Calibri" w:eastAsia="Calibri" w:hAnsi="Calibri"/>
          <w:b/>
          <w:bCs/>
          <w:i/>
          <w:iCs/>
          <w:color w:val="C00000"/>
          <w:sz w:val="20"/>
          <w:szCs w:val="20"/>
        </w:rPr>
        <w:t xml:space="preserve">Practice-Changing (STOP-IgAN)</w:t>
      </w:r>
    </w:p>
    <w:p>
      <w:pPr>
        <w:spacing w:after="60" w:before="60" w:line="276"/>
        <w:ind w:left="720" w:hanging="720"/>
      </w:pPr>
      <w:r>
        <w:rPr>
          <w:rFonts w:ascii="Calibri" w:cs="Calibri" w:eastAsia="Calibri" w:hAnsi="Calibri"/>
          <w:b/>
          <w:bCs/>
          <w:sz w:val="22"/>
          <w:szCs w:val="22"/>
        </w:rPr>
        <w:t xml:space="preserve">57.	</w:t>
      </w:r>
      <w:r>
        <w:rPr>
          <w:rFonts w:ascii="Calibri" w:cs="Calibri" w:eastAsia="Calibri" w:hAnsi="Calibri"/>
          <w:sz w:val="22"/>
          <w:szCs w:val="22"/>
        </w:rPr>
        <w:t xml:space="preserve">Barratt J and Feehally J (2005) IgA nephropathy. Journal of the American Society of Nephrology, 16(7), pp.2088–2097. doi:10.1681/ASN.2005020134.</w:t>
      </w:r>
    </w:p>
    <w:p>
      <w:pPr>
        <w:spacing w:after="120" w:before="0"/>
        <w:ind w:left="720"/>
      </w:pPr>
      <w:r>
        <w:rPr>
          <w:rFonts w:ascii="Calibri" w:cs="Calibri" w:eastAsia="Calibri" w:hAnsi="Calibri"/>
          <w:b/>
          <w:bCs/>
          <w:i/>
          <w:iCs/>
          <w:color w:val="C00000"/>
          <w:sz w:val="20"/>
          <w:szCs w:val="20"/>
        </w:rPr>
        <w:t xml:space="preserve">Foundational</w:t>
      </w:r>
    </w:p>
    <w:p>
      <w:pPr>
        <w:pStyle w:val="Heading2"/>
        <w:spacing w:after="120" w:before="240"/>
      </w:pPr>
      <w:r>
        <w:rPr>
          <w:rFonts w:ascii="Calibri" w:cs="Calibri" w:eastAsia="Calibri" w:hAnsi="Calibri"/>
          <w:b/>
          <w:bCs/>
          <w:color w:val="2E75B6"/>
          <w:sz w:val="22"/>
          <w:szCs w:val="22"/>
        </w:rPr>
        <w:t xml:space="preserve">LUPUS NEPHRITIS</w:t>
      </w:r>
    </w:p>
    <w:p>
      <w:pPr>
        <w:spacing w:after="60" w:before="60" w:line="276"/>
        <w:ind w:left="720" w:hanging="720"/>
      </w:pPr>
      <w:r>
        <w:rPr>
          <w:rFonts w:ascii="Calibri" w:cs="Calibri" w:eastAsia="Calibri" w:hAnsi="Calibri"/>
          <w:b/>
          <w:bCs/>
          <w:sz w:val="22"/>
          <w:szCs w:val="22"/>
        </w:rPr>
        <w:t xml:space="preserve">58.	</w:t>
      </w:r>
      <w:r>
        <w:rPr>
          <w:rFonts w:ascii="Calibri" w:cs="Calibri" w:eastAsia="Calibri" w:hAnsi="Calibri"/>
          <w:sz w:val="22"/>
          <w:szCs w:val="22"/>
        </w:rPr>
        <w:t xml:space="preserve">Appel GB, Contreras G, Dooley MA, Ginzler EM, Isenberg D, Jayne D, Li LS, Mysler E, Sanchez-Guerrero J, Solomons N et al. (2009) Mycophenolate mofetil versus cyclophosphamide for induction treatment of lupus nephritis. Journal of the American Society of Nephrology, 20(5), pp.1103–1112. doi:10.1681/ASN.2008101028.</w:t>
      </w:r>
    </w:p>
    <w:p>
      <w:pPr>
        <w:spacing w:after="120" w:before="0"/>
        <w:ind w:left="720"/>
      </w:pPr>
      <w:r>
        <w:rPr>
          <w:rFonts w:ascii="Calibri" w:cs="Calibri" w:eastAsia="Calibri" w:hAnsi="Calibri"/>
          <w:b/>
          <w:bCs/>
          <w:i/>
          <w:iCs/>
          <w:color w:val="C00000"/>
          <w:sz w:val="20"/>
          <w:szCs w:val="20"/>
        </w:rPr>
        <w:t xml:space="preserve">Landmark Trial</w:t>
      </w:r>
    </w:p>
    <w:p>
      <w:pPr>
        <w:spacing w:after="60" w:before="60" w:line="276"/>
        <w:ind w:left="720" w:hanging="720"/>
      </w:pPr>
      <w:r>
        <w:rPr>
          <w:rFonts w:ascii="Calibri" w:cs="Calibri" w:eastAsia="Calibri" w:hAnsi="Calibri"/>
          <w:b/>
          <w:bCs/>
          <w:sz w:val="22"/>
          <w:szCs w:val="22"/>
        </w:rPr>
        <w:t xml:space="preserve">59.	</w:t>
      </w:r>
      <w:r>
        <w:rPr>
          <w:rFonts w:ascii="Calibri" w:cs="Calibri" w:eastAsia="Calibri" w:hAnsi="Calibri"/>
          <w:sz w:val="22"/>
          <w:szCs w:val="22"/>
        </w:rPr>
        <w:t xml:space="preserve">Furie R, Rovin BH, Houssiau F, Malvar A, Teng YKO, Contreras G, Amoura Z, Yu X, Mok CC, Santiago MB et al. (2020) Two-year, randomized, controlled trial of belimumab in lupus nephritis. New England Journal of Medicine, 383(12), pp.1117–1128. doi:10.1056/NEJMoa2001180.</w:t>
      </w:r>
    </w:p>
    <w:p>
      <w:pPr>
        <w:spacing w:after="120" w:before="0"/>
        <w:ind w:left="720"/>
      </w:pPr>
      <w:r>
        <w:rPr>
          <w:rFonts w:ascii="Calibri" w:cs="Calibri" w:eastAsia="Calibri" w:hAnsi="Calibri"/>
          <w:b/>
          <w:bCs/>
          <w:i/>
          <w:iCs/>
          <w:color w:val="C00000"/>
          <w:sz w:val="20"/>
          <w:szCs w:val="20"/>
        </w:rPr>
        <w:t xml:space="preserve">Practice-Changing</w:t>
      </w:r>
    </w:p>
    <w:p>
      <w:pPr>
        <w:spacing w:after="60" w:before="60" w:line="276"/>
        <w:ind w:left="720" w:hanging="720"/>
      </w:pPr>
      <w:r>
        <w:rPr>
          <w:rFonts w:ascii="Calibri" w:cs="Calibri" w:eastAsia="Calibri" w:hAnsi="Calibri"/>
          <w:b/>
          <w:bCs/>
          <w:sz w:val="22"/>
          <w:szCs w:val="22"/>
        </w:rPr>
        <w:t xml:space="preserve">60.	</w:t>
      </w:r>
      <w:r>
        <w:rPr>
          <w:rFonts w:ascii="Calibri" w:cs="Calibri" w:eastAsia="Calibri" w:hAnsi="Calibri"/>
          <w:sz w:val="22"/>
          <w:szCs w:val="22"/>
        </w:rPr>
        <w:t xml:space="preserve">Parikh SV and Almaani S (2020) Update on lupus nephritis: core curriculum 2020. American Journal of Kidney Diseases, 76(2), pp.265–281. doi:10.1053/j.ajkd.2019.12.012.</w:t>
      </w:r>
    </w:p>
    <w:p>
      <w:pPr>
        <w:spacing w:after="120" w:before="0"/>
        <w:ind w:left="720"/>
      </w:pPr>
      <w:r>
        <w:rPr>
          <w:rFonts w:ascii="Calibri" w:cs="Calibri" w:eastAsia="Calibri" w:hAnsi="Calibri"/>
          <w:b/>
          <w:bCs/>
          <w:i/>
          <w:iCs/>
          <w:color w:val="C00000"/>
          <w:sz w:val="20"/>
          <w:szCs w:val="20"/>
        </w:rPr>
        <w:t xml:space="preserve">Foundational</w:t>
      </w:r>
    </w:p>
    <w:p>
      <w:pPr>
        <w:pStyle w:val="Heading2"/>
        <w:spacing w:after="120" w:before="240"/>
      </w:pPr>
      <w:r>
        <w:rPr>
          <w:rFonts w:ascii="Calibri" w:cs="Calibri" w:eastAsia="Calibri" w:hAnsi="Calibri"/>
          <w:b/>
          <w:bCs/>
          <w:color w:val="2E75B6"/>
          <w:sz w:val="22"/>
          <w:szCs w:val="22"/>
        </w:rPr>
        <w:t xml:space="preserve">ANCA-ASSOCIATED VASCULITIS</w:t>
      </w:r>
    </w:p>
    <w:p>
      <w:pPr>
        <w:spacing w:after="60" w:before="60" w:line="276"/>
        <w:ind w:left="720" w:hanging="720"/>
      </w:pPr>
      <w:r>
        <w:rPr>
          <w:rFonts w:ascii="Calibri" w:cs="Calibri" w:eastAsia="Calibri" w:hAnsi="Calibri"/>
          <w:b/>
          <w:bCs/>
          <w:sz w:val="22"/>
          <w:szCs w:val="22"/>
        </w:rPr>
        <w:t xml:space="preserve">61.	</w:t>
      </w:r>
      <w:r>
        <w:rPr>
          <w:rFonts w:ascii="Calibri" w:cs="Calibri" w:eastAsia="Calibri" w:hAnsi="Calibri"/>
          <w:sz w:val="22"/>
          <w:szCs w:val="22"/>
        </w:rPr>
        <w:t xml:space="preserve">Jayne DRW, Merkel PA, Schall TJ and Bekker P (2013) Avacopan for the treatment of ANCA-associated vasculitis. New England Journal of Medicine, 369(20), pp.1990–2000. doi:10.1056/NEJMoa1304994.</w:t>
      </w:r>
    </w:p>
    <w:p>
      <w:pPr>
        <w:spacing w:after="120" w:before="0"/>
        <w:ind w:left="720"/>
      </w:pPr>
      <w:r>
        <w:rPr>
          <w:rFonts w:ascii="Calibri" w:cs="Calibri" w:eastAsia="Calibri" w:hAnsi="Calibri"/>
          <w:b/>
          <w:bCs/>
          <w:i/>
          <w:iCs/>
          <w:color w:val="C00000"/>
          <w:sz w:val="20"/>
          <w:szCs w:val="20"/>
        </w:rPr>
        <w:t xml:space="preserve">Complement-Era Landmark</w:t>
      </w:r>
    </w:p>
    <w:p>
      <w:pPr>
        <w:spacing w:after="60" w:before="60" w:line="276"/>
        <w:ind w:left="720" w:hanging="720"/>
      </w:pPr>
      <w:r>
        <w:rPr>
          <w:rFonts w:ascii="Calibri" w:cs="Calibri" w:eastAsia="Calibri" w:hAnsi="Calibri"/>
          <w:b/>
          <w:bCs/>
          <w:sz w:val="22"/>
          <w:szCs w:val="22"/>
        </w:rPr>
        <w:t xml:space="preserve">62.	</w:t>
      </w:r>
      <w:r>
        <w:rPr>
          <w:rFonts w:ascii="Calibri" w:cs="Calibri" w:eastAsia="Calibri" w:hAnsi="Calibri"/>
          <w:sz w:val="22"/>
          <w:szCs w:val="22"/>
        </w:rPr>
        <w:t xml:space="preserve">Stone JH, Merkel PA, Spiera R, Seo P, Langford CA, Hoffman GS, Kallenberg CGM, St Clair EW, Turkiewicz A, Tchao NK et al. (2010) Rituximab versus cyclophosphamide for ANCA-associated vasculitis. New England Journal of Medicine, 363(3), pp.221–232. doi:10.1056/NEJMoa0909905.</w:t>
      </w:r>
    </w:p>
    <w:p>
      <w:pPr>
        <w:spacing w:after="120" w:before="0"/>
        <w:ind w:left="720"/>
      </w:pPr>
      <w:r>
        <w:rPr>
          <w:rFonts w:ascii="Calibri" w:cs="Calibri" w:eastAsia="Calibri" w:hAnsi="Calibri"/>
          <w:b/>
          <w:bCs/>
          <w:i/>
          <w:iCs/>
          <w:color w:val="C00000"/>
          <w:sz w:val="20"/>
          <w:szCs w:val="20"/>
        </w:rPr>
        <w:t xml:space="preserve">Landmark (RAVE)</w:t>
      </w:r>
    </w:p>
    <w:p>
      <w:pPr>
        <w:spacing w:after="60" w:before="60" w:line="276"/>
        <w:ind w:left="720" w:hanging="720"/>
      </w:pPr>
      <w:r>
        <w:rPr>
          <w:rFonts w:ascii="Calibri" w:cs="Calibri" w:eastAsia="Calibri" w:hAnsi="Calibri"/>
          <w:b/>
          <w:bCs/>
          <w:sz w:val="22"/>
          <w:szCs w:val="22"/>
        </w:rPr>
        <w:t xml:space="preserve">63.	</w:t>
      </w:r>
      <w:r>
        <w:rPr>
          <w:rFonts w:ascii="Calibri" w:cs="Calibri" w:eastAsia="Calibri" w:hAnsi="Calibri"/>
          <w:sz w:val="22"/>
          <w:szCs w:val="22"/>
        </w:rPr>
        <w:t xml:space="preserve">Jennette JC, Falk RJ, Bacon PA, Basu N, Cid MC, Ferrario F, Flores-Suárez LF, Gross WL, Guillevin L, Hagen EC et al. (2013) 2012 revised International Chapel Hill Consensus Conference nomenclature of vasculitides. Arthritis &amp; Rheumatism, 65(1), pp.1–11. doi:10.1002/art.37715.</w:t>
      </w:r>
    </w:p>
    <w:p>
      <w:pPr>
        <w:spacing w:after="120" w:before="0"/>
        <w:ind w:left="720"/>
      </w:pPr>
      <w:r>
        <w:rPr>
          <w:rFonts w:ascii="Calibri" w:cs="Calibri" w:eastAsia="Calibri" w:hAnsi="Calibri"/>
          <w:b/>
          <w:bCs/>
          <w:i/>
          <w:iCs/>
          <w:color w:val="C00000"/>
          <w:sz w:val="20"/>
          <w:szCs w:val="20"/>
        </w:rPr>
        <w:t xml:space="preserve">Foundational Classification</w:t>
      </w:r>
    </w:p>
    <w:p>
      <w:pPr>
        <w:pStyle w:val="Heading2"/>
        <w:spacing w:after="120" w:before="240"/>
      </w:pPr>
      <w:r>
        <w:rPr>
          <w:rFonts w:ascii="Calibri" w:cs="Calibri" w:eastAsia="Calibri" w:hAnsi="Calibri"/>
          <w:b/>
          <w:bCs/>
          <w:color w:val="2E75B6"/>
          <w:sz w:val="22"/>
          <w:szCs w:val="22"/>
        </w:rPr>
        <w:t xml:space="preserve">C3 GLOMERULOPATHY &amp; COMPLEMENT</w:t>
      </w:r>
    </w:p>
    <w:p>
      <w:pPr>
        <w:spacing w:after="60" w:before="60" w:line="276"/>
        <w:ind w:left="720" w:hanging="720"/>
      </w:pPr>
      <w:r>
        <w:rPr>
          <w:rFonts w:ascii="Calibri" w:cs="Calibri" w:eastAsia="Calibri" w:hAnsi="Calibri"/>
          <w:b/>
          <w:bCs/>
          <w:sz w:val="22"/>
          <w:szCs w:val="22"/>
        </w:rPr>
        <w:t xml:space="preserve">64.	</w:t>
      </w:r>
      <w:r>
        <w:rPr>
          <w:rFonts w:ascii="Calibri" w:cs="Calibri" w:eastAsia="Calibri" w:hAnsi="Calibri"/>
          <w:sz w:val="22"/>
          <w:szCs w:val="22"/>
        </w:rPr>
        <w:t xml:space="preserve">Servais A, Noël LH, Roumenina LT, Le Quintrec M, Ngo S, Dragon-Durey MA, Macher MA, Zuber J, Karras A, Provot F et al. (2012) Acquired and genetic complement abnormalities play a critical role in dense deposit disease and other C3 glomerulopathies. Kidney International, 82(4), pp.454–464. doi:10.1038/ki.2012.63.</w:t>
      </w:r>
    </w:p>
    <w:p>
      <w:pPr>
        <w:spacing w:after="120" w:before="0"/>
        <w:ind w:left="720"/>
      </w:pPr>
      <w:r>
        <w:rPr>
          <w:rFonts w:ascii="Calibri" w:cs="Calibri" w:eastAsia="Calibri" w:hAnsi="Calibri"/>
          <w:b/>
          <w:bCs/>
          <w:i/>
          <w:iCs/>
          <w:color w:val="C00000"/>
          <w:sz w:val="20"/>
          <w:szCs w:val="20"/>
        </w:rPr>
        <w:t xml:space="preserve">Mechanistic Landmark</w:t>
      </w:r>
    </w:p>
    <w:p>
      <w:pPr>
        <w:spacing w:after="60" w:before="60" w:line="276"/>
        <w:ind w:left="720" w:hanging="720"/>
      </w:pPr>
      <w:r>
        <w:rPr>
          <w:rFonts w:ascii="Calibri" w:cs="Calibri" w:eastAsia="Calibri" w:hAnsi="Calibri"/>
          <w:b/>
          <w:bCs/>
          <w:sz w:val="22"/>
          <w:szCs w:val="22"/>
        </w:rPr>
        <w:t xml:space="preserve">65.	</w:t>
      </w:r>
      <w:r>
        <w:rPr>
          <w:rFonts w:ascii="Calibri" w:cs="Calibri" w:eastAsia="Calibri" w:hAnsi="Calibri"/>
          <w:sz w:val="22"/>
          <w:szCs w:val="22"/>
        </w:rPr>
        <w:t xml:space="preserve">Pickering MC, D'Agati VD, Nester CM, Smith RJH, Haas M, Appel GB, Alpers CE, Bajema IM, Bedrosian C, Braun M et al. (2013) C3 glomerulopathy: consensus report. Kidney International, 84(6), pp.1079–1089. doi:10.1038/ki.2013.377.</w:t>
      </w:r>
    </w:p>
    <w:p>
      <w:pPr>
        <w:spacing w:after="120" w:before="0"/>
        <w:ind w:left="720"/>
      </w:pPr>
      <w:r>
        <w:rPr>
          <w:rFonts w:ascii="Calibri" w:cs="Calibri" w:eastAsia="Calibri" w:hAnsi="Calibri"/>
          <w:b/>
          <w:bCs/>
          <w:i/>
          <w:iCs/>
          <w:color w:val="C00000"/>
          <w:sz w:val="20"/>
          <w:szCs w:val="20"/>
        </w:rPr>
        <w:t xml:space="preserve">Foundational Consensus</w:t>
      </w:r>
    </w:p>
    <w:p>
      <w:pPr>
        <w:pStyle w:val="Heading2"/>
        <w:spacing w:after="120" w:before="240"/>
      </w:pPr>
      <w:r>
        <w:rPr>
          <w:rFonts w:ascii="Calibri" w:cs="Calibri" w:eastAsia="Calibri" w:hAnsi="Calibri"/>
          <w:b/>
          <w:bCs/>
          <w:color w:val="2E75B6"/>
          <w:sz w:val="22"/>
          <w:szCs w:val="22"/>
        </w:rPr>
        <w:t xml:space="preserve">FSGS &amp; PODOCYTE BIOLOGY</w:t>
      </w:r>
    </w:p>
    <w:p>
      <w:pPr>
        <w:spacing w:after="60" w:before="60" w:line="276"/>
        <w:ind w:left="720" w:hanging="720"/>
      </w:pPr>
      <w:r>
        <w:rPr>
          <w:rFonts w:ascii="Calibri" w:cs="Calibri" w:eastAsia="Calibri" w:hAnsi="Calibri"/>
          <w:b/>
          <w:bCs/>
          <w:sz w:val="22"/>
          <w:szCs w:val="22"/>
        </w:rPr>
        <w:t xml:space="preserve">66.	</w:t>
      </w:r>
      <w:r>
        <w:rPr>
          <w:rFonts w:ascii="Calibri" w:cs="Calibri" w:eastAsia="Calibri" w:hAnsi="Calibri"/>
          <w:sz w:val="22"/>
          <w:szCs w:val="22"/>
        </w:rPr>
        <w:t xml:space="preserve">D'Agati VD, Fogo AB, Bruijn JA and Jennette JC (2004) Pathologic classification of focal segmental glomerulosclerosis. Kidney International, 66(2), pp.774–789. doi:10.1111/j.1523-1755.2004.00817.x.</w:t>
      </w:r>
    </w:p>
    <w:p>
      <w:pPr>
        <w:spacing w:after="120" w:before="0"/>
        <w:ind w:left="720"/>
      </w:pPr>
      <w:r>
        <w:rPr>
          <w:rFonts w:ascii="Calibri" w:cs="Calibri" w:eastAsia="Calibri" w:hAnsi="Calibri"/>
          <w:b/>
          <w:bCs/>
          <w:i/>
          <w:iCs/>
          <w:color w:val="C00000"/>
          <w:sz w:val="20"/>
          <w:szCs w:val="20"/>
        </w:rPr>
        <w:t xml:space="preserve">Foundational</w:t>
      </w:r>
    </w:p>
    <w:p>
      <w:pPr>
        <w:spacing w:after="60" w:before="60" w:line="276"/>
        <w:ind w:left="720" w:hanging="720"/>
      </w:pPr>
      <w:r>
        <w:rPr>
          <w:rFonts w:ascii="Calibri" w:cs="Calibri" w:eastAsia="Calibri" w:hAnsi="Calibri"/>
          <w:b/>
          <w:bCs/>
          <w:sz w:val="22"/>
          <w:szCs w:val="22"/>
        </w:rPr>
        <w:t xml:space="preserve">67.	</w:t>
      </w:r>
      <w:r>
        <w:rPr>
          <w:rFonts w:ascii="Calibri" w:cs="Calibri" w:eastAsia="Calibri" w:hAnsi="Calibri"/>
          <w:sz w:val="22"/>
          <w:szCs w:val="22"/>
        </w:rPr>
        <w:t xml:space="preserve">Shankland SJ (2006) The podocyte's response to injury: role in proteinuria and glomerulosclerosis. Kidney International, 69(12), pp.2131–2147. doi:10.1038/sj.ki.5000410.</w:t>
      </w:r>
    </w:p>
    <w:p>
      <w:pPr>
        <w:spacing w:after="120" w:before="0"/>
        <w:ind w:left="720"/>
      </w:pPr>
      <w:r>
        <w:rPr>
          <w:rFonts w:ascii="Calibri" w:cs="Calibri" w:eastAsia="Calibri" w:hAnsi="Calibri"/>
          <w:b/>
          <w:bCs/>
          <w:i/>
          <w:iCs/>
          <w:color w:val="C00000"/>
          <w:sz w:val="20"/>
          <w:szCs w:val="20"/>
        </w:rPr>
        <w:t xml:space="preserve">Mechanistic Classic</w:t>
      </w:r>
    </w:p>
    <w:p>
      <w:pPr>
        <w:spacing w:after="60" w:before="60" w:line="276"/>
        <w:ind w:left="720" w:hanging="720"/>
      </w:pPr>
      <w:r>
        <w:rPr>
          <w:rFonts w:ascii="Calibri" w:cs="Calibri" w:eastAsia="Calibri" w:hAnsi="Calibri"/>
          <w:b/>
          <w:bCs/>
          <w:sz w:val="22"/>
          <w:szCs w:val="22"/>
        </w:rPr>
        <w:t xml:space="preserve">68.	</w:t>
      </w:r>
      <w:r>
        <w:rPr>
          <w:rFonts w:ascii="Calibri" w:cs="Calibri" w:eastAsia="Calibri" w:hAnsi="Calibri"/>
          <w:sz w:val="22"/>
          <w:szCs w:val="22"/>
        </w:rPr>
        <w:t xml:space="preserve">Reiser J, von Gersdorff G, Loos M, Oh J, Asanuma K, Giardino L, Rastaldi MP, Calvaresi N, Watanabe H, Schwarz K et al. (2004) Induction of B7-1 in podocytes is associated with nephrotic syndrome. Journal of Clinical Investigation, 113(10), pp.1390–1397. doi:10.1172/JCI20402.</w:t>
      </w:r>
    </w:p>
    <w:p>
      <w:pPr>
        <w:spacing w:after="120" w:before="0"/>
        <w:ind w:left="720"/>
      </w:pPr>
      <w:r>
        <w:rPr>
          <w:rFonts w:ascii="Calibri" w:cs="Calibri" w:eastAsia="Calibri" w:hAnsi="Calibri"/>
          <w:b/>
          <w:bCs/>
          <w:i/>
          <w:iCs/>
          <w:color w:val="C00000"/>
          <w:sz w:val="20"/>
          <w:szCs w:val="20"/>
        </w:rPr>
        <w:t xml:space="preserve">Podocyte Discovery</w:t>
      </w:r>
    </w:p>
    <w:p>
      <w:pPr>
        <w:pStyle w:val="Heading2"/>
        <w:spacing w:after="120" w:before="240"/>
      </w:pPr>
      <w:r>
        <w:rPr>
          <w:rFonts w:ascii="Calibri" w:cs="Calibri" w:eastAsia="Calibri" w:hAnsi="Calibri"/>
          <w:b/>
          <w:bCs/>
          <w:color w:val="2E75B6"/>
          <w:sz w:val="22"/>
          <w:szCs w:val="22"/>
        </w:rPr>
        <w:t xml:space="preserve">THROMBOTIC MICROANGIOPATHY</w:t>
      </w:r>
    </w:p>
    <w:p>
      <w:pPr>
        <w:spacing w:after="60" w:before="60" w:line="276"/>
        <w:ind w:left="720" w:hanging="720"/>
      </w:pPr>
      <w:r>
        <w:rPr>
          <w:rFonts w:ascii="Calibri" w:cs="Calibri" w:eastAsia="Calibri" w:hAnsi="Calibri"/>
          <w:b/>
          <w:bCs/>
          <w:sz w:val="22"/>
          <w:szCs w:val="22"/>
        </w:rPr>
        <w:t xml:space="preserve">69.	</w:t>
      </w:r>
      <w:r>
        <w:rPr>
          <w:rFonts w:ascii="Calibri" w:cs="Calibri" w:eastAsia="Calibri" w:hAnsi="Calibri"/>
          <w:sz w:val="22"/>
          <w:szCs w:val="22"/>
        </w:rPr>
        <w:t xml:space="preserve">Noris M and Remuzzi G (2009) Atypical hemolytic–uremic syndrome. New England Journal of Medicine, 361(17), pp.1676–1687. doi:10.1056/NEJMra0902814.</w:t>
      </w:r>
    </w:p>
    <w:p>
      <w:pPr>
        <w:spacing w:after="120" w:before="0"/>
        <w:ind w:left="720"/>
      </w:pPr>
      <w:r>
        <w:rPr>
          <w:rFonts w:ascii="Calibri" w:cs="Calibri" w:eastAsia="Calibri" w:hAnsi="Calibri"/>
          <w:b/>
          <w:bCs/>
          <w:i/>
          <w:iCs/>
          <w:color w:val="C00000"/>
          <w:sz w:val="20"/>
          <w:szCs w:val="20"/>
        </w:rPr>
        <w:t xml:space="preserve">Foundational</w:t>
      </w:r>
    </w:p>
    <w:p>
      <w:pPr>
        <w:spacing w:after="60" w:before="60" w:line="276"/>
        <w:ind w:left="720" w:hanging="720"/>
      </w:pPr>
      <w:r>
        <w:rPr>
          <w:rFonts w:ascii="Calibri" w:cs="Calibri" w:eastAsia="Calibri" w:hAnsi="Calibri"/>
          <w:b/>
          <w:bCs/>
          <w:sz w:val="22"/>
          <w:szCs w:val="22"/>
        </w:rPr>
        <w:t xml:space="preserve">70.	</w:t>
      </w:r>
      <w:r>
        <w:rPr>
          <w:rFonts w:ascii="Calibri" w:cs="Calibri" w:eastAsia="Calibri" w:hAnsi="Calibri"/>
          <w:sz w:val="22"/>
          <w:szCs w:val="22"/>
        </w:rPr>
        <w:t xml:space="preserve">Legendre CM, Licht C, Muus P, Greenbaum LA, Babu S, Bedrosian C, Bingham C, Cohen DJ, Delmas Y, Douglas K et al. (2013) Terminal complement inhibitor eculizumab in atypical hemolytic–uremic syndrome. New England Journal of Medicine, 368(23), pp.2169–2181. doi:10.1056/NEJMoa1208981.</w:t>
      </w:r>
    </w:p>
    <w:p>
      <w:pPr>
        <w:spacing w:after="120" w:before="0"/>
        <w:ind w:left="720"/>
      </w:pPr>
      <w:r>
        <w:rPr>
          <w:rFonts w:ascii="Calibri" w:cs="Calibri" w:eastAsia="Calibri" w:hAnsi="Calibri"/>
          <w:b/>
          <w:bCs/>
          <w:i/>
          <w:iCs/>
          <w:color w:val="C00000"/>
          <w:sz w:val="20"/>
          <w:szCs w:val="20"/>
        </w:rPr>
        <w:t xml:space="preserve">Landmark</w:t>
      </w:r>
    </w:p>
    <w:p>
      <w:pPr>
        <w:pStyle w:val="Heading2"/>
        <w:spacing w:after="120" w:before="240"/>
      </w:pPr>
      <w:r>
        <w:rPr>
          <w:rFonts w:ascii="Calibri" w:cs="Calibri" w:eastAsia="Calibri" w:hAnsi="Calibri"/>
          <w:b/>
          <w:bCs/>
          <w:color w:val="2E75B6"/>
          <w:sz w:val="22"/>
          <w:szCs w:val="22"/>
        </w:rPr>
        <w:t xml:space="preserve">POST-INFECTIOUS GN</w:t>
      </w:r>
    </w:p>
    <w:p>
      <w:pPr>
        <w:spacing w:after="60" w:before="60" w:line="276"/>
        <w:ind w:left="720" w:hanging="720"/>
      </w:pPr>
      <w:r>
        <w:rPr>
          <w:rFonts w:ascii="Calibri" w:cs="Calibri" w:eastAsia="Calibri" w:hAnsi="Calibri"/>
          <w:b/>
          <w:bCs/>
          <w:sz w:val="22"/>
          <w:szCs w:val="22"/>
        </w:rPr>
        <w:t xml:space="preserve">71.	</w:t>
      </w:r>
      <w:r>
        <w:rPr>
          <w:rFonts w:ascii="Calibri" w:cs="Calibri" w:eastAsia="Calibri" w:hAnsi="Calibri"/>
          <w:sz w:val="22"/>
          <w:szCs w:val="22"/>
        </w:rPr>
        <w:t xml:space="preserve">Nasr SH and Markowitz GS (2013) Infection-related glomerulonephritis in adults. Kidney International, 83(5), pp.792–803. doi:10.1038/ki.2012.407.</w:t>
      </w:r>
    </w:p>
    <w:p>
      <w:pPr>
        <w:spacing w:after="120" w:before="0"/>
        <w:ind w:left="720"/>
      </w:pPr>
      <w:r>
        <w:rPr>
          <w:rFonts w:ascii="Calibri" w:cs="Calibri" w:eastAsia="Calibri" w:hAnsi="Calibri"/>
          <w:b/>
          <w:bCs/>
          <w:i/>
          <w:iCs/>
          <w:color w:val="C00000"/>
          <w:sz w:val="20"/>
          <w:szCs w:val="20"/>
        </w:rPr>
        <w:t xml:space="preserve">Foundational</w:t>
      </w:r>
    </w:p>
    <w:p>
      <w:pPr>
        <w:pStyle w:val="Heading2"/>
        <w:spacing w:after="120" w:before="240"/>
      </w:pPr>
      <w:r>
        <w:rPr>
          <w:rFonts w:ascii="Calibri" w:cs="Calibri" w:eastAsia="Calibri" w:hAnsi="Calibri"/>
          <w:b/>
          <w:bCs/>
          <w:color w:val="2E75B6"/>
          <w:sz w:val="22"/>
          <w:szCs w:val="22"/>
        </w:rPr>
        <w:t xml:space="preserve">ANTI-GBM DISEASE</w:t>
      </w:r>
    </w:p>
    <w:p>
      <w:pPr>
        <w:spacing w:after="60" w:before="60" w:line="276"/>
        <w:ind w:left="720" w:hanging="720"/>
      </w:pPr>
      <w:r>
        <w:rPr>
          <w:rFonts w:ascii="Calibri" w:cs="Calibri" w:eastAsia="Calibri" w:hAnsi="Calibri"/>
          <w:b/>
          <w:bCs/>
          <w:sz w:val="22"/>
          <w:szCs w:val="22"/>
        </w:rPr>
        <w:t xml:space="preserve">72.	</w:t>
      </w:r>
      <w:r>
        <w:rPr>
          <w:rFonts w:ascii="Calibri" w:cs="Calibri" w:eastAsia="Calibri" w:hAnsi="Calibri"/>
          <w:sz w:val="22"/>
          <w:szCs w:val="22"/>
        </w:rPr>
        <w:t xml:space="preserve">Levy JB, Turner AN, Rees AJ and Pusey CD (2001) Long-term outcome of anti-glomerular basement membrane antibody disease. Journal of the American Society of Nephrology, 12(6), pp.1179–1187.</w:t>
      </w:r>
    </w:p>
    <w:p>
      <w:pPr>
        <w:spacing w:after="120" w:before="0"/>
        <w:ind w:left="720"/>
      </w:pPr>
      <w:r>
        <w:rPr>
          <w:rFonts w:ascii="Calibri" w:cs="Calibri" w:eastAsia="Calibri" w:hAnsi="Calibri"/>
          <w:b/>
          <w:bCs/>
          <w:i/>
          <w:iCs/>
          <w:color w:val="C00000"/>
          <w:sz w:val="20"/>
          <w:szCs w:val="20"/>
        </w:rPr>
        <w:t xml:space="preserve">Foundational</w:t>
      </w:r>
    </w:p>
    <w:p>
      <w:pPr>
        <w:pStyle w:val="Heading2"/>
        <w:spacing w:after="120" w:before="240"/>
      </w:pPr>
      <w:r>
        <w:rPr>
          <w:rFonts w:ascii="Calibri" w:cs="Calibri" w:eastAsia="Calibri" w:hAnsi="Calibri"/>
          <w:b/>
          <w:bCs/>
          <w:color w:val="2E75B6"/>
          <w:sz w:val="22"/>
          <w:szCs w:val="22"/>
        </w:rPr>
        <w:t xml:space="preserve">COMPLEMENT THERAPEUTICS ERA</w:t>
      </w:r>
    </w:p>
    <w:p>
      <w:pPr>
        <w:spacing w:after="60" w:before="60" w:line="276"/>
        <w:ind w:left="720" w:hanging="720"/>
      </w:pPr>
      <w:r>
        <w:rPr>
          <w:rFonts w:ascii="Calibri" w:cs="Calibri" w:eastAsia="Calibri" w:hAnsi="Calibri"/>
          <w:b/>
          <w:bCs/>
          <w:sz w:val="22"/>
          <w:szCs w:val="22"/>
        </w:rPr>
        <w:t xml:space="preserve">73.	</w:t>
      </w:r>
      <w:r>
        <w:rPr>
          <w:rFonts w:ascii="Calibri" w:cs="Calibri" w:eastAsia="Calibri" w:hAnsi="Calibri"/>
          <w:sz w:val="22"/>
          <w:szCs w:val="22"/>
        </w:rPr>
        <w:t xml:space="preserve">Rovin BH, Teng YKO, Ginzler EM, Arriens C, Caster DJ, Romero-Diaz J, Gibson KL, Kaplan J, Radhakrishnan J, Menter A et al. (2021) Efficacy and safety of voclosporin versus placebo for lupus nephritis (AURORA 1). Lancet, 397(10289), pp.2070–2080. doi:10.1016/S0140-6736(21)00578-X.</w:t>
      </w:r>
    </w:p>
    <w:p>
      <w:pPr>
        <w:spacing w:after="120" w:before="0"/>
        <w:ind w:left="720"/>
      </w:pPr>
      <w:r>
        <w:rPr>
          <w:rFonts w:ascii="Calibri" w:cs="Calibri" w:eastAsia="Calibri" w:hAnsi="Calibri"/>
          <w:b/>
          <w:bCs/>
          <w:i/>
          <w:iCs/>
          <w:color w:val="C00000"/>
          <w:sz w:val="20"/>
          <w:szCs w:val="20"/>
        </w:rPr>
        <w:t xml:space="preserve">Practice-Changing</w:t>
      </w:r>
    </w:p>
    <w:p>
      <w:pPr>
        <w:spacing w:after="60" w:before="60" w:line="276"/>
        <w:ind w:left="720" w:hanging="720"/>
      </w:pPr>
      <w:r>
        <w:rPr>
          <w:rFonts w:ascii="Calibri" w:cs="Calibri" w:eastAsia="Calibri" w:hAnsi="Calibri"/>
          <w:b/>
          <w:bCs/>
          <w:sz w:val="22"/>
          <w:szCs w:val="22"/>
        </w:rPr>
        <w:t xml:space="preserve">74.	</w:t>
      </w:r>
      <w:r>
        <w:rPr>
          <w:rFonts w:ascii="Calibri" w:cs="Calibri" w:eastAsia="Calibri" w:hAnsi="Calibri"/>
          <w:sz w:val="22"/>
          <w:szCs w:val="22"/>
        </w:rPr>
        <w:t xml:space="preserve">Jayne DRW et al. (2021) Avacopan for ANCA-associated vasculitis. New England Journal of Medicine, 384(7), pp.599–609. doi:10.1056/NEJMoa2023386.</w:t>
      </w:r>
    </w:p>
    <w:p>
      <w:pPr>
        <w:spacing w:after="120" w:before="0"/>
        <w:ind w:left="720"/>
      </w:pPr>
      <w:r>
        <w:rPr>
          <w:rFonts w:ascii="Calibri" w:cs="Calibri" w:eastAsia="Calibri" w:hAnsi="Calibri"/>
          <w:b/>
          <w:bCs/>
          <w:i/>
          <w:iCs/>
          <w:color w:val="C00000"/>
          <w:sz w:val="20"/>
          <w:szCs w:val="20"/>
        </w:rPr>
        <w:t xml:space="preserve">Landmark</w:t>
      </w:r>
    </w:p>
    <w:p>
      <w:pPr>
        <w:pStyle w:val="Heading2"/>
        <w:spacing w:after="120" w:before="240"/>
      </w:pPr>
      <w:r>
        <w:rPr>
          <w:rFonts w:ascii="Calibri" w:cs="Calibri" w:eastAsia="Calibri" w:hAnsi="Calibri"/>
          <w:b/>
          <w:bCs/>
          <w:color w:val="2E75B6"/>
          <w:sz w:val="22"/>
          <w:szCs w:val="22"/>
        </w:rPr>
        <w:t xml:space="preserve">NEPHROTIC SYNDROME — CLASSIC</w:t>
      </w:r>
    </w:p>
    <w:p>
      <w:pPr>
        <w:spacing w:after="60" w:before="60" w:line="276"/>
        <w:ind w:left="720" w:hanging="720"/>
      </w:pPr>
      <w:r>
        <w:rPr>
          <w:rFonts w:ascii="Calibri" w:cs="Calibri" w:eastAsia="Calibri" w:hAnsi="Calibri"/>
          <w:b/>
          <w:bCs/>
          <w:sz w:val="22"/>
          <w:szCs w:val="22"/>
        </w:rPr>
        <w:t xml:space="preserve">75.	</w:t>
      </w:r>
      <w:r>
        <w:rPr>
          <w:rFonts w:ascii="Calibri" w:cs="Calibri" w:eastAsia="Calibri" w:hAnsi="Calibri"/>
          <w:sz w:val="22"/>
          <w:szCs w:val="22"/>
        </w:rPr>
        <w:t xml:space="preserve">Cameron JS (1999) The nephrotic syndrome and its complications. American Journal of Kidney Diseases, 33(5), pp.965–989.</w:t>
      </w:r>
    </w:p>
    <w:p>
      <w:pPr>
        <w:spacing w:after="120" w:before="0"/>
        <w:ind w:left="720"/>
      </w:pPr>
      <w:r>
        <w:rPr>
          <w:rFonts w:ascii="Calibri" w:cs="Calibri" w:eastAsia="Calibri" w:hAnsi="Calibri"/>
          <w:b/>
          <w:bCs/>
          <w:i/>
          <w:iCs/>
          <w:color w:val="C00000"/>
          <w:sz w:val="20"/>
          <w:szCs w:val="20"/>
        </w:rPr>
        <w:t xml:space="preserve">Foundational Classic</w:t>
      </w:r>
    </w:p>
    <w:p>
      <w:pPr>
        <w:pStyle w:val="Heading1"/>
        <w:pBdr>
          <w:bottom w:val="single" w:color="1F4E79" w:sz="8" w:space="4"/>
        </w:pBdr>
        <w:spacing w:after="180" w:before="360"/>
      </w:pPr>
      <w:r>
        <w:rPr>
          <w:rFonts w:ascii="Calibri" w:cs="Calibri" w:eastAsia="Calibri" w:hAnsi="Calibri"/>
          <w:b/>
          <w:bCs/>
          <w:color w:val="1F4E79"/>
          <w:sz w:val="28"/>
          <w:szCs w:val="28"/>
        </w:rPr>
        <w:t xml:space="preserve">HEREDITARY KIDNEY DISEASE</w:t>
      </w:r>
    </w:p>
    <w:p>
      <w:pPr>
        <w:spacing w:after="60" w:before="60" w:line="276"/>
        <w:ind w:left="720" w:hanging="720"/>
      </w:pPr>
      <w:r>
        <w:rPr>
          <w:rFonts w:ascii="Calibri" w:cs="Calibri" w:eastAsia="Calibri" w:hAnsi="Calibri"/>
          <w:b/>
          <w:bCs/>
          <w:sz w:val="22"/>
          <w:szCs w:val="22"/>
        </w:rPr>
        <w:t xml:space="preserve">76.	</w:t>
      </w:r>
      <w:r>
        <w:rPr>
          <w:rFonts w:ascii="Calibri" w:cs="Calibri" w:eastAsia="Calibri" w:hAnsi="Calibri"/>
          <w:sz w:val="22"/>
          <w:szCs w:val="22"/>
        </w:rPr>
        <w:t xml:space="preserve">Torres VE, Chapman AB, Devuyst O, Gansevoort RT, Grantham JJ, Higashihara E, Perrone RD, Krasa HB, Ouyang J and Czerwiec FS (2012) Tolvaptan in patients with autosomal dominant polycystic kidney disease. New England Journal of Medicine, 367(25), pp.2407–2418. doi:10.1056/NEJMoa1205511.</w:t>
      </w:r>
    </w:p>
    <w:p>
      <w:pPr>
        <w:spacing w:after="120" w:before="0"/>
        <w:ind w:left="720"/>
      </w:pPr>
      <w:r>
        <w:rPr>
          <w:rFonts w:ascii="Calibri" w:cs="Calibri" w:eastAsia="Calibri" w:hAnsi="Calibri"/>
          <w:b/>
          <w:bCs/>
          <w:i/>
          <w:iCs/>
          <w:color w:val="C00000"/>
          <w:sz w:val="20"/>
          <w:szCs w:val="20"/>
        </w:rPr>
        <w:t xml:space="preserve">Landmark (TEMPO 3:4)</w:t>
      </w:r>
    </w:p>
    <w:p>
      <w:pPr>
        <w:spacing w:after="60" w:before="60" w:line="276"/>
        <w:ind w:left="720" w:hanging="720"/>
      </w:pPr>
      <w:r>
        <w:rPr>
          <w:rFonts w:ascii="Calibri" w:cs="Calibri" w:eastAsia="Calibri" w:hAnsi="Calibri"/>
          <w:b/>
          <w:bCs/>
          <w:sz w:val="22"/>
          <w:szCs w:val="22"/>
        </w:rPr>
        <w:t xml:space="preserve">77.	</w:t>
      </w:r>
      <w:r>
        <w:rPr>
          <w:rFonts w:ascii="Calibri" w:cs="Calibri" w:eastAsia="Calibri" w:hAnsi="Calibri"/>
          <w:sz w:val="22"/>
          <w:szCs w:val="22"/>
        </w:rPr>
        <w:t xml:space="preserve">Torres VE, Chapman AB, Devuyst O, Gansevoort RT, Perrone RD, Dandurand A, Ouyang J, Czerwiec FS and REPRISE Trial Investigators (2017) Tolvaptan in later-stage autosomal dominant polycystic kidney disease. New England Journal of Medicine, 377(20), pp.1930–1942. doi:10.1056/NEJMoa1710030.</w:t>
      </w:r>
    </w:p>
    <w:p>
      <w:pPr>
        <w:spacing w:after="120" w:before="0"/>
        <w:ind w:left="720"/>
      </w:pPr>
      <w:r>
        <w:rPr>
          <w:rFonts w:ascii="Calibri" w:cs="Calibri" w:eastAsia="Calibri" w:hAnsi="Calibri"/>
          <w:b/>
          <w:bCs/>
          <w:i/>
          <w:iCs/>
          <w:color w:val="C00000"/>
          <w:sz w:val="20"/>
          <w:szCs w:val="20"/>
        </w:rPr>
        <w:t xml:space="preserve">Practice-Changing (REPRISE)</w:t>
      </w:r>
    </w:p>
    <w:p>
      <w:pPr>
        <w:spacing w:after="60" w:before="60" w:line="276"/>
        <w:ind w:left="720" w:hanging="720"/>
      </w:pPr>
      <w:r>
        <w:rPr>
          <w:rFonts w:ascii="Calibri" w:cs="Calibri" w:eastAsia="Calibri" w:hAnsi="Calibri"/>
          <w:b/>
          <w:bCs/>
          <w:sz w:val="22"/>
          <w:szCs w:val="22"/>
        </w:rPr>
        <w:t xml:space="preserve">78.	</w:t>
      </w:r>
      <w:r>
        <w:rPr>
          <w:rFonts w:ascii="Calibri" w:cs="Calibri" w:eastAsia="Calibri" w:hAnsi="Calibri"/>
          <w:sz w:val="22"/>
          <w:szCs w:val="22"/>
        </w:rPr>
        <w:t xml:space="preserve">Harris PC and Torres VE (2009) Polycystic kidney disease. Annual Review of Medicine, 60, pp.321–337. doi:10.1146/annurev.med.60.101707.125712.</w:t>
      </w:r>
    </w:p>
    <w:p>
      <w:pPr>
        <w:spacing w:after="120" w:before="0"/>
        <w:ind w:left="720"/>
      </w:pPr>
      <w:r>
        <w:rPr>
          <w:rFonts w:ascii="Calibri" w:cs="Calibri" w:eastAsia="Calibri" w:hAnsi="Calibri"/>
          <w:b/>
          <w:bCs/>
          <w:i/>
          <w:iCs/>
          <w:color w:val="C00000"/>
          <w:sz w:val="20"/>
          <w:szCs w:val="20"/>
        </w:rPr>
        <w:t xml:space="preserve">Foundational</w:t>
      </w:r>
    </w:p>
    <w:p>
      <w:pPr>
        <w:spacing w:after="60" w:before="60" w:line="276"/>
        <w:ind w:left="720" w:hanging="720"/>
      </w:pPr>
      <w:r>
        <w:rPr>
          <w:rFonts w:ascii="Calibri" w:cs="Calibri" w:eastAsia="Calibri" w:hAnsi="Calibri"/>
          <w:b/>
          <w:bCs/>
          <w:sz w:val="22"/>
          <w:szCs w:val="22"/>
        </w:rPr>
        <w:t xml:space="preserve">79.	</w:t>
      </w:r>
      <w:r>
        <w:rPr>
          <w:rFonts w:ascii="Calibri" w:cs="Calibri" w:eastAsia="Calibri" w:hAnsi="Calibri"/>
          <w:sz w:val="22"/>
          <w:szCs w:val="22"/>
        </w:rPr>
        <w:t xml:space="preserve">Kashtan CE (1999) Alport syndrome: an inherited disorder of renal, ocular, and cochlear basement membranes. Medicine (Baltimore), 78(5), pp.338–360.</w:t>
      </w:r>
    </w:p>
    <w:p>
      <w:pPr>
        <w:spacing w:after="120" w:before="0"/>
        <w:ind w:left="720"/>
      </w:pPr>
      <w:r>
        <w:rPr>
          <w:rFonts w:ascii="Calibri" w:cs="Calibri" w:eastAsia="Calibri" w:hAnsi="Calibri"/>
          <w:b/>
          <w:bCs/>
          <w:i/>
          <w:iCs/>
          <w:color w:val="C00000"/>
          <w:sz w:val="20"/>
          <w:szCs w:val="20"/>
        </w:rPr>
        <w:t xml:space="preserve">Foundational</w:t>
      </w:r>
    </w:p>
    <w:p>
      <w:pPr>
        <w:spacing w:after="60" w:before="60" w:line="276"/>
        <w:ind w:left="720" w:hanging="720"/>
      </w:pPr>
      <w:r>
        <w:rPr>
          <w:rFonts w:ascii="Calibri" w:cs="Calibri" w:eastAsia="Calibri" w:hAnsi="Calibri"/>
          <w:b/>
          <w:bCs/>
          <w:sz w:val="22"/>
          <w:szCs w:val="22"/>
        </w:rPr>
        <w:t xml:space="preserve">80.	</w:t>
      </w:r>
      <w:r>
        <w:rPr>
          <w:rFonts w:ascii="Calibri" w:cs="Calibri" w:eastAsia="Calibri" w:hAnsi="Calibri"/>
          <w:sz w:val="22"/>
          <w:szCs w:val="22"/>
        </w:rPr>
        <w:t xml:space="preserve">Genovese G, Friedman DJ, Ross MD, Lecordier L, Uzureau P, Freedman BI, Bowden DW, Langefeld CD, Oleksyk TK, Uscinski Knob AL et al. (2010) Association of trypanolytic ApoL1 variants with kidney disease in African Americans. Science, 329(5993), pp.841–845. doi:10.1126/science.1193032.</w:t>
      </w:r>
    </w:p>
    <w:p>
      <w:pPr>
        <w:spacing w:after="120" w:before="0"/>
        <w:ind w:left="720"/>
      </w:pPr>
      <w:r>
        <w:rPr>
          <w:rFonts w:ascii="Calibri" w:cs="Calibri" w:eastAsia="Calibri" w:hAnsi="Calibri"/>
          <w:b/>
          <w:bCs/>
          <w:i/>
          <w:iCs/>
          <w:color w:val="C00000"/>
          <w:sz w:val="20"/>
          <w:szCs w:val="20"/>
        </w:rPr>
        <w:t xml:space="preserve">Genetic Landmark</w:t>
      </w:r>
    </w:p>
    <w:p>
      <w:pPr>
        <w:pStyle w:val="Heading1"/>
        <w:pBdr>
          <w:bottom w:val="single" w:color="1F4E79" w:sz="8" w:space="4"/>
        </w:pBdr>
        <w:spacing w:after="180" w:before="360"/>
      </w:pPr>
      <w:r>
        <w:rPr>
          <w:rFonts w:ascii="Calibri" w:cs="Calibri" w:eastAsia="Calibri" w:hAnsi="Calibri"/>
          <w:b/>
          <w:bCs/>
          <w:color w:val="1F4E79"/>
          <w:sz w:val="28"/>
          <w:szCs w:val="28"/>
        </w:rPr>
        <w:t xml:space="preserve">DIALYSIS &amp; RENAL REPLACEMENT THERAPY</w:t>
      </w:r>
    </w:p>
    <w:p>
      <w:pPr>
        <w:spacing w:after="60" w:before="60" w:line="276"/>
        <w:ind w:left="720" w:hanging="720"/>
      </w:pPr>
      <w:r>
        <w:rPr>
          <w:rFonts w:ascii="Calibri" w:cs="Calibri" w:eastAsia="Calibri" w:hAnsi="Calibri"/>
          <w:b/>
          <w:bCs/>
          <w:sz w:val="22"/>
          <w:szCs w:val="22"/>
        </w:rPr>
        <w:t xml:space="preserve">81.	</w:t>
      </w:r>
      <w:r>
        <w:rPr>
          <w:rFonts w:ascii="Calibri" w:cs="Calibri" w:eastAsia="Calibri" w:hAnsi="Calibri"/>
          <w:sz w:val="22"/>
          <w:szCs w:val="22"/>
        </w:rPr>
        <w:t xml:space="preserve">Eknoyan G, Beck GJ, Cheung AK, Daugirdas JT, Greene T, Kusek JW, Allon M, Bailey J, Delmez JA, Depner TA et al. (2002) Effect of dialysis dose and membrane flux in maintenance hemodialysis. New England Journal of Medicine, 347(25), pp.2010–2019. doi:10.1056/NEJMoa021583.</w:t>
      </w:r>
    </w:p>
    <w:p>
      <w:pPr>
        <w:spacing w:after="120" w:before="0"/>
        <w:ind w:left="720"/>
      </w:pPr>
      <w:r>
        <w:rPr>
          <w:rFonts w:ascii="Calibri" w:cs="Calibri" w:eastAsia="Calibri" w:hAnsi="Calibri"/>
          <w:b/>
          <w:bCs/>
          <w:i/>
          <w:iCs/>
          <w:color w:val="C00000"/>
          <w:sz w:val="20"/>
          <w:szCs w:val="20"/>
        </w:rPr>
        <w:t xml:space="preserve">Landmark (HEMO Study)</w:t>
      </w:r>
    </w:p>
    <w:p>
      <w:pPr>
        <w:spacing w:after="60" w:before="60" w:line="276"/>
        <w:ind w:left="720" w:hanging="720"/>
      </w:pPr>
      <w:r>
        <w:rPr>
          <w:rFonts w:ascii="Calibri" w:cs="Calibri" w:eastAsia="Calibri" w:hAnsi="Calibri"/>
          <w:b/>
          <w:bCs/>
          <w:sz w:val="22"/>
          <w:szCs w:val="22"/>
        </w:rPr>
        <w:t xml:space="preserve">82.	</w:t>
      </w:r>
      <w:r>
        <w:rPr>
          <w:rFonts w:ascii="Calibri" w:cs="Calibri" w:eastAsia="Calibri" w:hAnsi="Calibri"/>
          <w:sz w:val="22"/>
          <w:szCs w:val="22"/>
        </w:rPr>
        <w:t xml:space="preserve">Cooper BA, Branley P, Bulfone L, Collins JF, Craig JC, Fraenkel MB, Harris A, Johnson DW, Kesselhut J, Li JJ et al. (2010) A randomized, controlled trial of early versus late initiation of dialysis. New England Journal of Medicine, 363(7), pp.609–619. doi:10.1056/NEJMoa1000552.</w:t>
      </w:r>
    </w:p>
    <w:p>
      <w:pPr>
        <w:spacing w:after="120" w:before="0"/>
        <w:ind w:left="720"/>
      </w:pPr>
      <w:r>
        <w:rPr>
          <w:rFonts w:ascii="Calibri" w:cs="Calibri" w:eastAsia="Calibri" w:hAnsi="Calibri"/>
          <w:b/>
          <w:bCs/>
          <w:i/>
          <w:iCs/>
          <w:color w:val="C00000"/>
          <w:sz w:val="20"/>
          <w:szCs w:val="20"/>
        </w:rPr>
        <w:t xml:space="preserve">Landmark (IDEAL)</w:t>
      </w:r>
    </w:p>
    <w:p>
      <w:pPr>
        <w:spacing w:after="60" w:before="60" w:line="276"/>
        <w:ind w:left="720" w:hanging="720"/>
      </w:pPr>
      <w:r>
        <w:rPr>
          <w:rFonts w:ascii="Calibri" w:cs="Calibri" w:eastAsia="Calibri" w:hAnsi="Calibri"/>
          <w:b/>
          <w:bCs/>
          <w:sz w:val="22"/>
          <w:szCs w:val="22"/>
        </w:rPr>
        <w:t xml:space="preserve">83.	</w:t>
      </w:r>
      <w:r>
        <w:rPr>
          <w:rFonts w:ascii="Calibri" w:cs="Calibri" w:eastAsia="Calibri" w:hAnsi="Calibri"/>
          <w:sz w:val="22"/>
          <w:szCs w:val="22"/>
        </w:rPr>
        <w:t xml:space="preserve">Maduell F, Moreso F, Pons M, Ramos R, Mora-Macià J, Carreras J, Soler J, Torres F, Campistol JM and Martinez-Castelao A (2013) High-efficiency postdilution online hemodiafiltration reduces all-cause mortality. Journal of the American Society of Nephrology, 24(3), pp.487–497. doi:10.1681/ASN.2012080875.</w:t>
      </w:r>
    </w:p>
    <w:p>
      <w:pPr>
        <w:spacing w:after="120" w:before="0"/>
        <w:ind w:left="720"/>
      </w:pPr>
      <w:r>
        <w:rPr>
          <w:rFonts w:ascii="Calibri" w:cs="Calibri" w:eastAsia="Calibri" w:hAnsi="Calibri"/>
          <w:b/>
          <w:bCs/>
          <w:i/>
          <w:iCs/>
          <w:color w:val="C00000"/>
          <w:sz w:val="20"/>
          <w:szCs w:val="20"/>
        </w:rPr>
        <w:t xml:space="preserve">Practice-Changing (ESHOL)</w:t>
      </w:r>
    </w:p>
    <w:p>
      <w:pPr>
        <w:spacing w:after="60" w:before="60" w:line="276"/>
        <w:ind w:left="720" w:hanging="720"/>
      </w:pPr>
      <w:r>
        <w:rPr>
          <w:rFonts w:ascii="Calibri" w:cs="Calibri" w:eastAsia="Calibri" w:hAnsi="Calibri"/>
          <w:b/>
          <w:bCs/>
          <w:sz w:val="22"/>
          <w:szCs w:val="22"/>
        </w:rPr>
        <w:t xml:space="preserve">84.	</w:t>
      </w:r>
      <w:r>
        <w:rPr>
          <w:rFonts w:ascii="Calibri" w:cs="Calibri" w:eastAsia="Calibri" w:hAnsi="Calibri"/>
          <w:sz w:val="22"/>
          <w:szCs w:val="22"/>
        </w:rPr>
        <w:t xml:space="preserve">Mehrotra R, Devuyst O, Davies SJ and Johnson DW (2016) The current state of peritoneal dialysis. Journal of the American Society of Nephrology, 27(11), pp.3238–3252. doi:10.1681/ASN.2016010112.</w:t>
      </w:r>
    </w:p>
    <w:p>
      <w:pPr>
        <w:spacing w:after="120" w:before="0"/>
        <w:ind w:left="720"/>
      </w:pPr>
      <w:r>
        <w:rPr>
          <w:rFonts w:ascii="Calibri" w:cs="Calibri" w:eastAsia="Calibri" w:hAnsi="Calibri"/>
          <w:b/>
          <w:bCs/>
          <w:i/>
          <w:iCs/>
          <w:color w:val="C00000"/>
          <w:sz w:val="20"/>
          <w:szCs w:val="20"/>
        </w:rPr>
        <w:t xml:space="preserve">Foundational Review</w:t>
      </w:r>
    </w:p>
    <w:p>
      <w:pPr>
        <w:spacing w:after="60" w:before="60" w:line="276"/>
        <w:ind w:left="720" w:hanging="720"/>
      </w:pPr>
      <w:r>
        <w:rPr>
          <w:rFonts w:ascii="Calibri" w:cs="Calibri" w:eastAsia="Calibri" w:hAnsi="Calibri"/>
          <w:b/>
          <w:bCs/>
          <w:sz w:val="22"/>
          <w:szCs w:val="22"/>
        </w:rPr>
        <w:t xml:space="preserve">85.	</w:t>
      </w:r>
      <w:r>
        <w:rPr>
          <w:rFonts w:ascii="Calibri" w:cs="Calibri" w:eastAsia="Calibri" w:hAnsi="Calibri"/>
          <w:sz w:val="22"/>
          <w:szCs w:val="22"/>
        </w:rPr>
        <w:t xml:space="preserve">Rivara MB and Mehrotra R (2017) The changing landscape of home dialysis in the United States. Current Opinion in Nephrology and Hypertension, 26(6), pp.548–555. doi:10.1097/MNH.0000000000000365.</w:t>
      </w:r>
    </w:p>
    <w:p>
      <w:pPr>
        <w:spacing w:after="120" w:before="0"/>
        <w:ind w:left="720"/>
      </w:pPr>
      <w:r>
        <w:rPr>
          <w:rFonts w:ascii="Calibri" w:cs="Calibri" w:eastAsia="Calibri" w:hAnsi="Calibri"/>
          <w:b/>
          <w:bCs/>
          <w:i/>
          <w:iCs/>
          <w:color w:val="C00000"/>
          <w:sz w:val="20"/>
          <w:szCs w:val="20"/>
        </w:rPr>
        <w:t xml:space="preserve">Home Dialysis Era</w:t>
      </w:r>
    </w:p>
    <w:p>
      <w:pPr>
        <w:pStyle w:val="Heading1"/>
        <w:pBdr>
          <w:bottom w:val="single" w:color="1F4E79" w:sz="8" w:space="4"/>
        </w:pBdr>
        <w:spacing w:after="180" w:before="360"/>
      </w:pPr>
      <w:r>
        <w:rPr>
          <w:rFonts w:ascii="Calibri" w:cs="Calibri" w:eastAsia="Calibri" w:hAnsi="Calibri"/>
          <w:b/>
          <w:bCs/>
          <w:color w:val="1F4E79"/>
          <w:sz w:val="28"/>
          <w:szCs w:val="28"/>
        </w:rPr>
        <w:t xml:space="preserve">CKD PROGRESSION BIOLOGY &amp; FIBROSIS</w:t>
      </w:r>
    </w:p>
    <w:p>
      <w:pPr>
        <w:spacing w:after="60" w:before="60" w:line="276"/>
        <w:ind w:left="720" w:hanging="720"/>
      </w:pPr>
      <w:r>
        <w:rPr>
          <w:rFonts w:ascii="Calibri" w:cs="Calibri" w:eastAsia="Calibri" w:hAnsi="Calibri"/>
          <w:b/>
          <w:bCs/>
          <w:sz w:val="22"/>
          <w:szCs w:val="22"/>
        </w:rPr>
        <w:t xml:space="preserve">86.	</w:t>
      </w:r>
      <w:r>
        <w:rPr>
          <w:rFonts w:ascii="Calibri" w:cs="Calibri" w:eastAsia="Calibri" w:hAnsi="Calibri"/>
          <w:sz w:val="22"/>
          <w:szCs w:val="22"/>
        </w:rPr>
        <w:t xml:space="preserve">Nath KA (1992) Tubulointerstitial changes as a major determinant in the progression of renal damage. American Journal of Kidney Diseases, 20(1), pp.1–17.</w:t>
      </w:r>
    </w:p>
    <w:p>
      <w:pPr>
        <w:spacing w:after="120" w:before="0"/>
        <w:ind w:left="720"/>
      </w:pPr>
      <w:r>
        <w:rPr>
          <w:rFonts w:ascii="Calibri" w:cs="Calibri" w:eastAsia="Calibri" w:hAnsi="Calibri"/>
          <w:b/>
          <w:bCs/>
          <w:i/>
          <w:iCs/>
          <w:color w:val="C00000"/>
          <w:sz w:val="20"/>
          <w:szCs w:val="20"/>
        </w:rPr>
        <w:t xml:space="preserve">Foundational</w:t>
      </w:r>
    </w:p>
    <w:p>
      <w:pPr>
        <w:spacing w:after="60" w:before="60" w:line="276"/>
        <w:ind w:left="720" w:hanging="720"/>
      </w:pPr>
      <w:r>
        <w:rPr>
          <w:rFonts w:ascii="Calibri" w:cs="Calibri" w:eastAsia="Calibri" w:hAnsi="Calibri"/>
          <w:b/>
          <w:bCs/>
          <w:sz w:val="22"/>
          <w:szCs w:val="22"/>
        </w:rPr>
        <w:t xml:space="preserve">87.	</w:t>
      </w:r>
      <w:r>
        <w:rPr>
          <w:rFonts w:ascii="Calibri" w:cs="Calibri" w:eastAsia="Calibri" w:hAnsi="Calibri"/>
          <w:sz w:val="22"/>
          <w:szCs w:val="22"/>
        </w:rPr>
        <w:t xml:space="preserve">Eddy AA (2005) Progression in chronic kidney disease. Advances in Chronic Kidney Disease, 12(4), pp.353–365. doi:10.1053/j.ackd.2005.07.007.</w:t>
      </w:r>
    </w:p>
    <w:p>
      <w:pPr>
        <w:spacing w:after="120" w:before="0"/>
        <w:ind w:left="720"/>
      </w:pPr>
      <w:r>
        <w:rPr>
          <w:rFonts w:ascii="Calibri" w:cs="Calibri" w:eastAsia="Calibri" w:hAnsi="Calibri"/>
          <w:b/>
          <w:bCs/>
          <w:i/>
          <w:iCs/>
          <w:color w:val="C00000"/>
          <w:sz w:val="20"/>
          <w:szCs w:val="20"/>
        </w:rPr>
        <w:t xml:space="preserve">Foundational</w:t>
      </w:r>
    </w:p>
    <w:p>
      <w:pPr>
        <w:spacing w:after="60" w:before="60" w:line="276"/>
        <w:ind w:left="720" w:hanging="720"/>
      </w:pPr>
      <w:r>
        <w:rPr>
          <w:rFonts w:ascii="Calibri" w:cs="Calibri" w:eastAsia="Calibri" w:hAnsi="Calibri"/>
          <w:b/>
          <w:bCs/>
          <w:sz w:val="22"/>
          <w:szCs w:val="22"/>
        </w:rPr>
        <w:t xml:space="preserve">88.	</w:t>
      </w:r>
      <w:r>
        <w:rPr>
          <w:rFonts w:ascii="Calibri" w:cs="Calibri" w:eastAsia="Calibri" w:hAnsi="Calibri"/>
          <w:sz w:val="22"/>
          <w:szCs w:val="22"/>
        </w:rPr>
        <w:t xml:space="preserve">Liu Y (2011) Cellular and molecular mechanisms of renal fibrosis. Nature Reviews Nephrology, 7(12), pp.684–696. doi:10.1038/nrneph.2011.149.</w:t>
      </w:r>
    </w:p>
    <w:p>
      <w:pPr>
        <w:spacing w:after="120" w:before="0"/>
        <w:ind w:left="720"/>
      </w:pPr>
      <w:r>
        <w:rPr>
          <w:rFonts w:ascii="Calibri" w:cs="Calibri" w:eastAsia="Calibri" w:hAnsi="Calibri"/>
          <w:b/>
          <w:bCs/>
          <w:i/>
          <w:iCs/>
          <w:color w:val="C00000"/>
          <w:sz w:val="20"/>
          <w:szCs w:val="20"/>
        </w:rPr>
        <w:t xml:space="preserve">Mechanistic Classic</w:t>
      </w:r>
    </w:p>
    <w:p>
      <w:pPr>
        <w:spacing w:after="60" w:before="60" w:line="276"/>
        <w:ind w:left="720" w:hanging="720"/>
      </w:pPr>
      <w:r>
        <w:rPr>
          <w:rFonts w:ascii="Calibri" w:cs="Calibri" w:eastAsia="Calibri" w:hAnsi="Calibri"/>
          <w:b/>
          <w:bCs/>
          <w:sz w:val="22"/>
          <w:szCs w:val="22"/>
        </w:rPr>
        <w:t xml:space="preserve">89.	</w:t>
      </w:r>
      <w:r>
        <w:rPr>
          <w:rFonts w:ascii="Calibri" w:cs="Calibri" w:eastAsia="Calibri" w:hAnsi="Calibri"/>
          <w:sz w:val="22"/>
          <w:szCs w:val="22"/>
        </w:rPr>
        <w:t xml:space="preserve">Duffield JS (2014) Cellular and molecular mechanisms in kidney fibrosis. Journal of Clinical Investigation, 124(6), pp.2299–2306. doi:10.1172/JCI72267.</w:t>
      </w:r>
    </w:p>
    <w:p>
      <w:pPr>
        <w:spacing w:after="120" w:before="0"/>
        <w:ind w:left="720"/>
      </w:pPr>
      <w:r>
        <w:rPr>
          <w:rFonts w:ascii="Calibri" w:cs="Calibri" w:eastAsia="Calibri" w:hAnsi="Calibri"/>
          <w:b/>
          <w:bCs/>
          <w:i/>
          <w:iCs/>
          <w:color w:val="C00000"/>
          <w:sz w:val="20"/>
          <w:szCs w:val="20"/>
        </w:rPr>
        <w:t xml:space="preserve">Mechanistic Foundational</w:t>
      </w:r>
    </w:p>
    <w:p>
      <w:pPr>
        <w:spacing w:after="60" w:before="60" w:line="276"/>
        <w:ind w:left="720" w:hanging="720"/>
      </w:pPr>
      <w:r>
        <w:rPr>
          <w:rFonts w:ascii="Calibri" w:cs="Calibri" w:eastAsia="Calibri" w:hAnsi="Calibri"/>
          <w:b/>
          <w:bCs/>
          <w:sz w:val="22"/>
          <w:szCs w:val="22"/>
        </w:rPr>
        <w:t xml:space="preserve">90.	</w:t>
      </w:r>
      <w:r>
        <w:rPr>
          <w:rFonts w:ascii="Calibri" w:cs="Calibri" w:eastAsia="Calibri" w:hAnsi="Calibri"/>
          <w:sz w:val="22"/>
          <w:szCs w:val="22"/>
        </w:rPr>
        <w:t xml:space="preserve">Zeisberg M and Kalluri R (2013) Cellular mechanisms of tissue fibrosis. New England Journal of Medicine, 369(7), pp.667–678. doi:10.1056/NEJMra1204189.</w:t>
      </w:r>
    </w:p>
    <w:p>
      <w:pPr>
        <w:spacing w:after="120" w:before="0"/>
        <w:ind w:left="720"/>
      </w:pPr>
      <w:r>
        <w:rPr>
          <w:rFonts w:ascii="Calibri" w:cs="Calibri" w:eastAsia="Calibri" w:hAnsi="Calibri"/>
          <w:b/>
          <w:bCs/>
          <w:i/>
          <w:iCs/>
          <w:color w:val="C00000"/>
          <w:sz w:val="20"/>
          <w:szCs w:val="20"/>
        </w:rPr>
        <w:t xml:space="preserve">Fibrosis Classic</w:t>
      </w:r>
    </w:p>
    <w:p>
      <w:pPr>
        <w:pStyle w:val="Heading1"/>
        <w:pBdr>
          <w:bottom w:val="single" w:color="1F4E79" w:sz="8" w:space="4"/>
        </w:pBdr>
        <w:spacing w:after="180" w:before="360"/>
      </w:pPr>
      <w:r>
        <w:rPr>
          <w:rFonts w:ascii="Calibri" w:cs="Calibri" w:eastAsia="Calibri" w:hAnsi="Calibri"/>
          <w:b/>
          <w:bCs/>
          <w:color w:val="1F4E79"/>
          <w:sz w:val="28"/>
          <w:szCs w:val="28"/>
        </w:rPr>
        <w:t xml:space="preserve">CARDIORENAL INTERFACE</w:t>
      </w:r>
    </w:p>
    <w:p>
      <w:pPr>
        <w:spacing w:after="60" w:before="60" w:line="276"/>
        <w:ind w:left="720" w:hanging="720"/>
      </w:pPr>
      <w:r>
        <w:rPr>
          <w:rFonts w:ascii="Calibri" w:cs="Calibri" w:eastAsia="Calibri" w:hAnsi="Calibri"/>
          <w:b/>
          <w:bCs/>
          <w:sz w:val="22"/>
          <w:szCs w:val="22"/>
        </w:rPr>
        <w:t xml:space="preserve">91.	</w:t>
      </w:r>
      <w:r>
        <w:rPr>
          <w:rFonts w:ascii="Calibri" w:cs="Calibri" w:eastAsia="Calibri" w:hAnsi="Calibri"/>
          <w:sz w:val="22"/>
          <w:szCs w:val="22"/>
        </w:rPr>
        <w:t xml:space="preserve">Ronco C, Haapio M, House AA, Anavekar N and Bellomo R (2008) Cardiorenal syndrome. Journal of the American College of Cardiology, 52(19), pp.1527–1539. doi:10.1016/j.jacc.2008.07.051.</w:t>
      </w:r>
    </w:p>
    <w:p>
      <w:pPr>
        <w:spacing w:after="120" w:before="0"/>
        <w:ind w:left="720"/>
      </w:pPr>
      <w:r>
        <w:rPr>
          <w:rFonts w:ascii="Calibri" w:cs="Calibri" w:eastAsia="Calibri" w:hAnsi="Calibri"/>
          <w:b/>
          <w:bCs/>
          <w:i/>
          <w:iCs/>
          <w:color w:val="C00000"/>
          <w:sz w:val="20"/>
          <w:szCs w:val="20"/>
        </w:rPr>
        <w:t xml:space="preserve">Foundational</w:t>
      </w:r>
    </w:p>
    <w:p>
      <w:pPr>
        <w:spacing w:after="60" w:before="60" w:line="276"/>
        <w:ind w:left="720" w:hanging="720"/>
      </w:pPr>
      <w:r>
        <w:rPr>
          <w:rFonts w:ascii="Calibri" w:cs="Calibri" w:eastAsia="Calibri" w:hAnsi="Calibri"/>
          <w:b/>
          <w:bCs/>
          <w:sz w:val="22"/>
          <w:szCs w:val="22"/>
        </w:rPr>
        <w:t xml:space="preserve">92.	</w:t>
      </w:r>
      <w:r>
        <w:rPr>
          <w:rFonts w:ascii="Calibri" w:cs="Calibri" w:eastAsia="Calibri" w:hAnsi="Calibri"/>
          <w:sz w:val="22"/>
          <w:szCs w:val="22"/>
        </w:rPr>
        <w:t xml:space="preserve">McCullough PA, Kellum JA, Haapio M, Mankad S, Bellomo R and Ronco C (2013) Pathophysiology of the cardiorenal syndromes. Journal of the American College of Cardiology, 62(7), pp.539–548. doi:10.1016/j.jacc.2013.04.063.</w:t>
      </w:r>
    </w:p>
    <w:p>
      <w:pPr>
        <w:spacing w:after="120" w:before="0"/>
        <w:ind w:left="720"/>
      </w:pPr>
      <w:r>
        <w:rPr>
          <w:rFonts w:ascii="Calibri" w:cs="Calibri" w:eastAsia="Calibri" w:hAnsi="Calibri"/>
          <w:b/>
          <w:bCs/>
          <w:i/>
          <w:iCs/>
          <w:color w:val="C00000"/>
          <w:sz w:val="20"/>
          <w:szCs w:val="20"/>
        </w:rPr>
        <w:t xml:space="preserve">Foundational</w:t>
      </w:r>
    </w:p>
    <w:p>
      <w:pPr>
        <w:spacing w:after="60" w:before="60" w:line="276"/>
        <w:ind w:left="720" w:hanging="720"/>
      </w:pPr>
      <w:r>
        <w:rPr>
          <w:rFonts w:ascii="Calibri" w:cs="Calibri" w:eastAsia="Calibri" w:hAnsi="Calibri"/>
          <w:b/>
          <w:bCs/>
          <w:sz w:val="22"/>
          <w:szCs w:val="22"/>
        </w:rPr>
        <w:t xml:space="preserve">93.	</w:t>
      </w:r>
      <w:r>
        <w:rPr>
          <w:rFonts w:ascii="Calibri" w:cs="Calibri" w:eastAsia="Calibri" w:hAnsi="Calibri"/>
          <w:sz w:val="22"/>
          <w:szCs w:val="22"/>
        </w:rPr>
        <w:t xml:space="preserve">House AA and Anand I (2018) Cardiorenal syndrome. New England Journal of Medicine, 379(13), pp.1289–1290.</w:t>
      </w:r>
    </w:p>
    <w:p>
      <w:pPr>
        <w:spacing w:after="120" w:before="0"/>
        <w:ind w:left="720"/>
      </w:pPr>
      <w:r>
        <w:rPr>
          <w:rFonts w:ascii="Calibri" w:cs="Calibri" w:eastAsia="Calibri" w:hAnsi="Calibri"/>
          <w:b/>
          <w:bCs/>
          <w:i/>
          <w:iCs/>
          <w:color w:val="C00000"/>
          <w:sz w:val="20"/>
          <w:szCs w:val="20"/>
        </w:rPr>
        <w:t xml:space="preserve">Perspective</w:t>
      </w:r>
    </w:p>
    <w:p>
      <w:pPr>
        <w:pStyle w:val="Heading1"/>
        <w:pBdr>
          <w:bottom w:val="single" w:color="1F4E79" w:sz="8" w:space="4"/>
        </w:pBdr>
        <w:spacing w:after="180" w:before="360"/>
      </w:pPr>
      <w:r>
        <w:rPr>
          <w:rFonts w:ascii="Calibri" w:cs="Calibri" w:eastAsia="Calibri" w:hAnsi="Calibri"/>
          <w:b/>
          <w:bCs/>
          <w:color w:val="1F4E79"/>
          <w:sz w:val="28"/>
          <w:szCs w:val="28"/>
        </w:rPr>
        <w:t xml:space="preserve">ELECTROLYTES &amp; ACID–BASE CLASSICS</w:t>
      </w:r>
    </w:p>
    <w:p>
      <w:pPr>
        <w:spacing w:after="60" w:before="60" w:line="276"/>
        <w:ind w:left="720" w:hanging="720"/>
      </w:pPr>
      <w:r>
        <w:rPr>
          <w:rFonts w:ascii="Calibri" w:cs="Calibri" w:eastAsia="Calibri" w:hAnsi="Calibri"/>
          <w:b/>
          <w:bCs/>
          <w:sz w:val="22"/>
          <w:szCs w:val="22"/>
        </w:rPr>
        <w:t xml:space="preserve">94.	</w:t>
      </w:r>
      <w:r>
        <w:rPr>
          <w:rFonts w:ascii="Calibri" w:cs="Calibri" w:eastAsia="Calibri" w:hAnsi="Calibri"/>
          <w:sz w:val="22"/>
          <w:szCs w:val="22"/>
        </w:rPr>
        <w:t xml:space="preserve">Sterns RH, Hix JK and Silver S (2010) Treating hyponatremia: why haste makes waste. Journal of the American Society of Nephrology, 21(2), pp.197–200. doi:10.1681/ASN.2009101064.</w:t>
      </w:r>
    </w:p>
    <w:p>
      <w:pPr>
        <w:spacing w:after="120" w:before="0"/>
        <w:ind w:left="720"/>
      </w:pPr>
      <w:r>
        <w:rPr>
          <w:rFonts w:ascii="Calibri" w:cs="Calibri" w:eastAsia="Calibri" w:hAnsi="Calibri"/>
          <w:b/>
          <w:bCs/>
          <w:i/>
          <w:iCs/>
          <w:color w:val="C00000"/>
          <w:sz w:val="20"/>
          <w:szCs w:val="20"/>
        </w:rPr>
        <w:t xml:space="preserve">Foundational</w:t>
      </w:r>
    </w:p>
    <w:p>
      <w:pPr>
        <w:spacing w:after="60" w:before="60" w:line="276"/>
        <w:ind w:left="720" w:hanging="720"/>
      </w:pPr>
      <w:r>
        <w:rPr>
          <w:rFonts w:ascii="Calibri" w:cs="Calibri" w:eastAsia="Calibri" w:hAnsi="Calibri"/>
          <w:b/>
          <w:bCs/>
          <w:sz w:val="22"/>
          <w:szCs w:val="22"/>
        </w:rPr>
        <w:t xml:space="preserve">95.	</w:t>
      </w:r>
      <w:r>
        <w:rPr>
          <w:rFonts w:ascii="Calibri" w:cs="Calibri" w:eastAsia="Calibri" w:hAnsi="Calibri"/>
          <w:sz w:val="22"/>
          <w:szCs w:val="22"/>
        </w:rPr>
        <w:t xml:space="preserve">Palmer BF and Clegg DJ (2017) Physiology and pathophysiology of potassium homeostasis. New England Journal of Medicine, 373(1), pp.60–72. doi:10.1056/NEJMra1313341.</w:t>
      </w:r>
    </w:p>
    <w:p>
      <w:pPr>
        <w:spacing w:after="120" w:before="0"/>
        <w:ind w:left="720"/>
      </w:pPr>
      <w:r>
        <w:rPr>
          <w:rFonts w:ascii="Calibri" w:cs="Calibri" w:eastAsia="Calibri" w:hAnsi="Calibri"/>
          <w:b/>
          <w:bCs/>
          <w:i/>
          <w:iCs/>
          <w:color w:val="C00000"/>
          <w:sz w:val="20"/>
          <w:szCs w:val="20"/>
        </w:rPr>
        <w:t xml:space="preserve">Classic Review</w:t>
      </w:r>
    </w:p>
    <w:p>
      <w:pPr>
        <w:spacing w:after="60" w:before="60" w:line="276"/>
        <w:ind w:left="720" w:hanging="720"/>
      </w:pPr>
      <w:r>
        <w:rPr>
          <w:rFonts w:ascii="Calibri" w:cs="Calibri" w:eastAsia="Calibri" w:hAnsi="Calibri"/>
          <w:b/>
          <w:bCs/>
          <w:sz w:val="22"/>
          <w:szCs w:val="22"/>
        </w:rPr>
        <w:t xml:space="preserve">96.	</w:t>
      </w:r>
      <w:r>
        <w:rPr>
          <w:rFonts w:ascii="Calibri" w:cs="Calibri" w:eastAsia="Calibri" w:hAnsi="Calibri"/>
          <w:sz w:val="22"/>
          <w:szCs w:val="22"/>
        </w:rPr>
        <w:t xml:space="preserve">Kraut JA and Madias NE (2012) Metabolic acidosis of CKD: an update. American Journal of Kidney Diseases, 60(6), pp.978–993. doi:10.1053/j.ajkd.2012.05.024.</w:t>
      </w:r>
    </w:p>
    <w:p>
      <w:pPr>
        <w:spacing w:after="120" w:before="0"/>
        <w:ind w:left="720"/>
      </w:pPr>
      <w:r>
        <w:rPr>
          <w:rFonts w:ascii="Calibri" w:cs="Calibri" w:eastAsia="Calibri" w:hAnsi="Calibri"/>
          <w:b/>
          <w:bCs/>
          <w:i/>
          <w:iCs/>
          <w:color w:val="C00000"/>
          <w:sz w:val="20"/>
          <w:szCs w:val="20"/>
        </w:rPr>
        <w:t xml:space="preserve">Foundational</w:t>
      </w:r>
    </w:p>
    <w:p>
      <w:pPr>
        <w:pStyle w:val="Heading1"/>
        <w:pBdr>
          <w:bottom w:val="single" w:color="1F4E79" w:sz="8" w:space="4"/>
        </w:pBdr>
        <w:spacing w:after="180" w:before="360"/>
      </w:pPr>
      <w:r>
        <w:rPr>
          <w:rFonts w:ascii="Calibri" w:cs="Calibri" w:eastAsia="Calibri" w:hAnsi="Calibri"/>
          <w:b/>
          <w:bCs/>
          <w:color w:val="1F4E79"/>
          <w:sz w:val="28"/>
          <w:szCs w:val="28"/>
        </w:rPr>
        <w:t xml:space="preserve">TRANSPLANT &amp; IMMUNOLOGY</w:t>
      </w:r>
    </w:p>
    <w:p>
      <w:pPr>
        <w:spacing w:after="60" w:before="60" w:line="276"/>
        <w:ind w:left="720" w:hanging="720"/>
      </w:pPr>
      <w:r>
        <w:rPr>
          <w:rFonts w:ascii="Calibri" w:cs="Calibri" w:eastAsia="Calibri" w:hAnsi="Calibri"/>
          <w:b/>
          <w:bCs/>
          <w:sz w:val="22"/>
          <w:szCs w:val="22"/>
        </w:rPr>
        <w:t xml:space="preserve">97.	</w:t>
      </w:r>
      <w:r>
        <w:rPr>
          <w:rFonts w:ascii="Calibri" w:cs="Calibri" w:eastAsia="Calibri" w:hAnsi="Calibri"/>
          <w:sz w:val="22"/>
          <w:szCs w:val="22"/>
        </w:rPr>
        <w:t xml:space="preserve">Halloran PF (2004) Immunosuppressive drugs for kidney transplantation. New England Journal of Medicine, 351(26), pp.2715–2729. doi:10.1056/NEJMra033540.</w:t>
      </w:r>
    </w:p>
    <w:p>
      <w:pPr>
        <w:spacing w:after="120" w:before="0"/>
        <w:ind w:left="720"/>
      </w:pPr>
      <w:r>
        <w:rPr>
          <w:rFonts w:ascii="Calibri" w:cs="Calibri" w:eastAsia="Calibri" w:hAnsi="Calibri"/>
          <w:b/>
          <w:bCs/>
          <w:i/>
          <w:iCs/>
          <w:color w:val="C00000"/>
          <w:sz w:val="20"/>
          <w:szCs w:val="20"/>
        </w:rPr>
        <w:t xml:space="preserve">Foundational</w:t>
      </w:r>
    </w:p>
    <w:p>
      <w:pPr>
        <w:spacing w:after="60" w:before="60" w:line="276"/>
        <w:ind w:left="720" w:hanging="720"/>
      </w:pPr>
      <w:r>
        <w:rPr>
          <w:rFonts w:ascii="Calibri" w:cs="Calibri" w:eastAsia="Calibri" w:hAnsi="Calibri"/>
          <w:b/>
          <w:bCs/>
          <w:sz w:val="22"/>
          <w:szCs w:val="22"/>
        </w:rPr>
        <w:t xml:space="preserve">98.	</w:t>
      </w:r>
      <w:r>
        <w:rPr>
          <w:rFonts w:ascii="Calibri" w:cs="Calibri" w:eastAsia="Calibri" w:hAnsi="Calibri"/>
          <w:sz w:val="22"/>
          <w:szCs w:val="22"/>
        </w:rPr>
        <w:t xml:space="preserve">Loupy A and Lefaucheur C (2018) Antibody-mediated rejection of solid-organ allografts. New England Journal of Medicine, 379(12), pp.1150–1160. doi:10.1056/NEJMra1802677.</w:t>
      </w:r>
    </w:p>
    <w:p>
      <w:pPr>
        <w:spacing w:after="120" w:before="0"/>
        <w:ind w:left="720"/>
      </w:pPr>
      <w:r>
        <w:rPr>
          <w:rFonts w:ascii="Calibri" w:cs="Calibri" w:eastAsia="Calibri" w:hAnsi="Calibri"/>
          <w:b/>
          <w:bCs/>
          <w:i/>
          <w:iCs/>
          <w:color w:val="C00000"/>
          <w:sz w:val="20"/>
          <w:szCs w:val="20"/>
        </w:rPr>
        <w:t xml:space="preserve">Practice-Changing</w:t>
      </w:r>
    </w:p>
    <w:p>
      <w:pPr>
        <w:pStyle w:val="Heading1"/>
        <w:pBdr>
          <w:bottom w:val="single" w:color="1F4E79" w:sz="8" w:space="4"/>
        </w:pBdr>
        <w:spacing w:after="180" w:before="360"/>
      </w:pPr>
      <w:r>
        <w:rPr>
          <w:rFonts w:ascii="Calibri" w:cs="Calibri" w:eastAsia="Calibri" w:hAnsi="Calibri"/>
          <w:b/>
          <w:bCs/>
          <w:color w:val="1F4E79"/>
          <w:sz w:val="28"/>
          <w:szCs w:val="28"/>
        </w:rPr>
        <w:t xml:space="preserve">CKD &amp; PUBLIC HEALTH</w:t>
      </w:r>
    </w:p>
    <w:p>
      <w:pPr>
        <w:spacing w:after="60" w:before="60" w:line="276"/>
        <w:ind w:left="720" w:hanging="720"/>
      </w:pPr>
      <w:r>
        <w:rPr>
          <w:rFonts w:ascii="Calibri" w:cs="Calibri" w:eastAsia="Calibri" w:hAnsi="Calibri"/>
          <w:b/>
          <w:bCs/>
          <w:sz w:val="22"/>
          <w:szCs w:val="22"/>
        </w:rPr>
        <w:t xml:space="preserve">99.	</w:t>
      </w:r>
      <w:r>
        <w:rPr>
          <w:rFonts w:ascii="Calibri" w:cs="Calibri" w:eastAsia="Calibri" w:hAnsi="Calibri"/>
          <w:sz w:val="22"/>
          <w:szCs w:val="22"/>
        </w:rPr>
        <w:t xml:space="preserve">Jha V, Garcia-Garcia G, Iseki K, Li Z, Naicker S, Plattner B, Saran R, Wang AY and Yang CW (2013) Chronic kidney disease: global dimension and perspectives. Lancet, 382(9888), pp.260–272. doi:10.1016/S0140-6736(13)60687-X.</w:t>
      </w:r>
    </w:p>
    <w:p>
      <w:pPr>
        <w:spacing w:after="120" w:before="0"/>
        <w:ind w:left="720"/>
      </w:pPr>
      <w:r>
        <w:rPr>
          <w:rFonts w:ascii="Calibri" w:cs="Calibri" w:eastAsia="Calibri" w:hAnsi="Calibri"/>
          <w:b/>
          <w:bCs/>
          <w:i/>
          <w:iCs/>
          <w:color w:val="C00000"/>
          <w:sz w:val="20"/>
          <w:szCs w:val="20"/>
        </w:rPr>
        <w:t xml:space="preserve">Global Foundational</w:t>
      </w:r>
    </w:p>
    <w:p>
      <w:pPr>
        <w:spacing w:after="60" w:before="60" w:line="276"/>
        <w:ind w:left="720" w:hanging="720"/>
      </w:pPr>
      <w:r>
        <w:rPr>
          <w:rFonts w:ascii="Calibri" w:cs="Calibri" w:eastAsia="Calibri" w:hAnsi="Calibri"/>
          <w:b/>
          <w:bCs/>
          <w:sz w:val="22"/>
          <w:szCs w:val="22"/>
        </w:rPr>
        <w:t xml:space="preserve">100.	</w:t>
      </w:r>
      <w:r>
        <w:rPr>
          <w:rFonts w:ascii="Calibri" w:cs="Calibri" w:eastAsia="Calibri" w:hAnsi="Calibri"/>
          <w:sz w:val="22"/>
          <w:szCs w:val="22"/>
        </w:rPr>
        <w:t xml:space="preserve">Webster AC, Nagler EV, Morton RL and Masson P (2017) Chronic kidney disease. Lancet, 389(10075), pp.1238–1252. doi:10.1016/S0140-6736(16)32064-5.</w:t>
      </w:r>
    </w:p>
    <w:p>
      <w:pPr>
        <w:spacing w:after="120" w:before="0"/>
        <w:ind w:left="720"/>
      </w:pPr>
      <w:r>
        <w:rPr>
          <w:rFonts w:ascii="Calibri" w:cs="Calibri" w:eastAsia="Calibri" w:hAnsi="Calibri"/>
          <w:b/>
          <w:bCs/>
          <w:i/>
          <w:iCs/>
          <w:color w:val="C00000"/>
          <w:sz w:val="20"/>
          <w:szCs w:val="20"/>
        </w:rPr>
        <w:t xml:space="preserve">Comprehensive Review</w:t>
      </w:r>
    </w:p>
    <w:p>
      <w:pPr>
        <w:pStyle w:val="Heading1"/>
        <w:pBdr>
          <w:bottom w:val="single" w:color="1F4E79" w:sz="8" w:space="4"/>
        </w:pBdr>
        <w:spacing w:after="180" w:before="360"/>
      </w:pPr>
      <w:r>
        <w:rPr>
          <w:rFonts w:ascii="Calibri" w:cs="Calibri" w:eastAsia="Calibri" w:hAnsi="Calibri"/>
          <w:b/>
          <w:bCs/>
          <w:color w:val="1F4E79"/>
          <w:sz w:val="28"/>
          <w:szCs w:val="28"/>
        </w:rPr>
        <w:t xml:space="preserve">CKD ANEMIA — ESA ERA</w:t>
      </w:r>
    </w:p>
    <w:p>
      <w:pPr>
        <w:spacing w:after="60" w:before="60" w:line="276"/>
        <w:ind w:left="720" w:hanging="720"/>
      </w:pPr>
      <w:r>
        <w:rPr>
          <w:rFonts w:ascii="Calibri" w:cs="Calibri" w:eastAsia="Calibri" w:hAnsi="Calibri"/>
          <w:b/>
          <w:bCs/>
          <w:sz w:val="22"/>
          <w:szCs w:val="22"/>
        </w:rPr>
        <w:t xml:space="preserve">101.	</w:t>
      </w:r>
      <w:r>
        <w:rPr>
          <w:rFonts w:ascii="Calibri" w:cs="Calibri" w:eastAsia="Calibri" w:hAnsi="Calibri"/>
          <w:sz w:val="22"/>
          <w:szCs w:val="22"/>
        </w:rPr>
        <w:t xml:space="preserve">Singh AK, Szczech L, Tang KL, Barnhart H, Sapp S, Wolfson M and Reddan D (2006) Correction of anemia with epoetin alfa in chronic kidney disease. New England Journal of Medicine, 355(20), pp.2085–2098. doi:10.1056/NEJMoa065485.</w:t>
      </w:r>
    </w:p>
    <w:p>
      <w:pPr>
        <w:spacing w:after="120" w:before="0"/>
        <w:ind w:left="720"/>
      </w:pPr>
      <w:r>
        <w:rPr>
          <w:rFonts w:ascii="Calibri" w:cs="Calibri" w:eastAsia="Calibri" w:hAnsi="Calibri"/>
          <w:b/>
          <w:bCs/>
          <w:i/>
          <w:iCs/>
          <w:color w:val="C00000"/>
          <w:sz w:val="20"/>
          <w:szCs w:val="20"/>
        </w:rPr>
        <w:t xml:space="preserve">Landmark (CHOIR)</w:t>
      </w:r>
    </w:p>
    <w:p>
      <w:pPr>
        <w:spacing w:after="60" w:before="60" w:line="276"/>
        <w:ind w:left="720" w:hanging="720"/>
      </w:pPr>
      <w:r>
        <w:rPr>
          <w:rFonts w:ascii="Calibri" w:cs="Calibri" w:eastAsia="Calibri" w:hAnsi="Calibri"/>
          <w:b/>
          <w:bCs/>
          <w:sz w:val="22"/>
          <w:szCs w:val="22"/>
        </w:rPr>
        <w:t xml:space="preserve">102.	</w:t>
      </w:r>
      <w:r>
        <w:rPr>
          <w:rFonts w:ascii="Calibri" w:cs="Calibri" w:eastAsia="Calibri" w:hAnsi="Calibri"/>
          <w:sz w:val="22"/>
          <w:szCs w:val="22"/>
        </w:rPr>
        <w:t xml:space="preserve">Drüeke TB, Locatelli F, Clyne N, Eckardt KU, Macdougall IC, Tsakiris D, Burger HU and Scherhag A (2006) Normalization of hemoglobin level in patients with chronic kidney disease and anemia. New England Journal of Medicine, 355(20), pp.2071–2084. doi:10.1056/NEJMoa062276.</w:t>
      </w:r>
    </w:p>
    <w:p>
      <w:pPr>
        <w:spacing w:after="120" w:before="0"/>
        <w:ind w:left="720"/>
      </w:pPr>
      <w:r>
        <w:rPr>
          <w:rFonts w:ascii="Calibri" w:cs="Calibri" w:eastAsia="Calibri" w:hAnsi="Calibri"/>
          <w:b/>
          <w:bCs/>
          <w:i/>
          <w:iCs/>
          <w:color w:val="C00000"/>
          <w:sz w:val="20"/>
          <w:szCs w:val="20"/>
        </w:rPr>
        <w:t xml:space="preserve">Landmark (CREATE)</w:t>
      </w:r>
    </w:p>
    <w:p>
      <w:pPr>
        <w:spacing w:after="60" w:before="60" w:line="276"/>
        <w:ind w:left="720" w:hanging="720"/>
      </w:pPr>
      <w:r>
        <w:rPr>
          <w:rFonts w:ascii="Calibri" w:cs="Calibri" w:eastAsia="Calibri" w:hAnsi="Calibri"/>
          <w:b/>
          <w:bCs/>
          <w:sz w:val="22"/>
          <w:szCs w:val="22"/>
        </w:rPr>
        <w:t xml:space="preserve">103.	</w:t>
      </w:r>
      <w:r>
        <w:rPr>
          <w:rFonts w:ascii="Calibri" w:cs="Calibri" w:eastAsia="Calibri" w:hAnsi="Calibri"/>
          <w:sz w:val="22"/>
          <w:szCs w:val="22"/>
        </w:rPr>
        <w:t xml:space="preserve">Pfeffer MA, Burdmann EA, Chen CY, Cooper ME, de Zeeuw D, Eckardt KU, Feyzi JM, Ivanovich P, Kewalramani R, Levey AS et al. (2009) A trial of darbepoetin alfa in type 2 diabetes and chronic kidney disease. New England Journal of Medicine, 361(21), pp.2019–2032. doi:10.1056/NEJMoa0907845.</w:t>
      </w:r>
    </w:p>
    <w:p>
      <w:pPr>
        <w:spacing w:after="120" w:before="0"/>
        <w:ind w:left="720"/>
      </w:pPr>
      <w:r>
        <w:rPr>
          <w:rFonts w:ascii="Calibri" w:cs="Calibri" w:eastAsia="Calibri" w:hAnsi="Calibri"/>
          <w:b/>
          <w:bCs/>
          <w:i/>
          <w:iCs/>
          <w:color w:val="C00000"/>
          <w:sz w:val="20"/>
          <w:szCs w:val="20"/>
        </w:rPr>
        <w:t xml:space="preserve">Landmark (TREAT)</w:t>
      </w:r>
    </w:p>
    <w:p>
      <w:pPr>
        <w:pStyle w:val="Heading2"/>
        <w:spacing w:after="120" w:before="240"/>
      </w:pPr>
      <w:r>
        <w:rPr>
          <w:rFonts w:ascii="Calibri" w:cs="Calibri" w:eastAsia="Calibri" w:hAnsi="Calibri"/>
          <w:b/>
          <w:bCs/>
          <w:color w:val="2E75B6"/>
          <w:sz w:val="22"/>
          <w:szCs w:val="22"/>
        </w:rPr>
        <w:t xml:space="preserve">HIF-PH INHIBITOR ERA</w:t>
      </w:r>
    </w:p>
    <w:p>
      <w:pPr>
        <w:spacing w:after="60" w:before="60" w:line="276"/>
        <w:ind w:left="720" w:hanging="720"/>
      </w:pPr>
      <w:r>
        <w:rPr>
          <w:rFonts w:ascii="Calibri" w:cs="Calibri" w:eastAsia="Calibri" w:hAnsi="Calibri"/>
          <w:b/>
          <w:bCs/>
          <w:sz w:val="22"/>
          <w:szCs w:val="22"/>
        </w:rPr>
        <w:t xml:space="preserve">104.	</w:t>
      </w:r>
      <w:r>
        <w:rPr>
          <w:rFonts w:ascii="Calibri" w:cs="Calibri" w:eastAsia="Calibri" w:hAnsi="Calibri"/>
          <w:sz w:val="22"/>
          <w:szCs w:val="22"/>
        </w:rPr>
        <w:t xml:space="preserve">Chen N, Hao C, Liu BC, Lin H, Wang C, Xing C, Liang X, Jiang G, Liu Z, Li X et al. (2019) Roxadustat treatment for anemia in patients undergoing long-term dialysis. New England Journal of Medicine, 381(11), pp.1011–1022. doi:10.1056/NEJMoa1901713.</w:t>
      </w:r>
    </w:p>
    <w:p>
      <w:pPr>
        <w:spacing w:after="120" w:before="0"/>
        <w:ind w:left="720"/>
      </w:pPr>
      <w:r>
        <w:rPr>
          <w:rFonts w:ascii="Calibri" w:cs="Calibri" w:eastAsia="Calibri" w:hAnsi="Calibri"/>
          <w:b/>
          <w:bCs/>
          <w:i/>
          <w:iCs/>
          <w:color w:val="C00000"/>
          <w:sz w:val="20"/>
          <w:szCs w:val="20"/>
        </w:rPr>
        <w:t xml:space="preserve">Practice-Changing</w:t>
      </w:r>
    </w:p>
    <w:p>
      <w:pPr>
        <w:spacing w:after="60" w:before="60" w:line="276"/>
        <w:ind w:left="720" w:hanging="720"/>
      </w:pPr>
      <w:r>
        <w:rPr>
          <w:rFonts w:ascii="Calibri" w:cs="Calibri" w:eastAsia="Calibri" w:hAnsi="Calibri"/>
          <w:b/>
          <w:bCs/>
          <w:sz w:val="22"/>
          <w:szCs w:val="22"/>
        </w:rPr>
        <w:t xml:space="preserve">105.	</w:t>
      </w:r>
      <w:r>
        <w:rPr>
          <w:rFonts w:ascii="Calibri" w:cs="Calibri" w:eastAsia="Calibri" w:hAnsi="Calibri"/>
          <w:sz w:val="22"/>
          <w:szCs w:val="22"/>
        </w:rPr>
        <w:t xml:space="preserve">Fishbane S, El-Shahawy MA, Pecoits-Filho R, Van BP, Houser MT, Frison L, Little DJ, Guzman NJ and Pergola PE (2021) Roxadustat for treating anemia in patients with chronic kidney disease not on dialysis. New England Journal of Medicine, 385(24), pp.2313–2324. doi:10.1056/NEJMoa2030829.</w:t>
      </w:r>
    </w:p>
    <w:p>
      <w:pPr>
        <w:spacing w:after="120" w:before="0"/>
        <w:ind w:left="720"/>
      </w:pPr>
      <w:r>
        <w:rPr>
          <w:rFonts w:ascii="Calibri" w:cs="Calibri" w:eastAsia="Calibri" w:hAnsi="Calibri"/>
          <w:b/>
          <w:bCs/>
          <w:i/>
          <w:iCs/>
          <w:color w:val="C00000"/>
          <w:sz w:val="20"/>
          <w:szCs w:val="20"/>
        </w:rPr>
        <w:t xml:space="preserve">Practice-Changing</w:t>
      </w:r>
    </w:p>
    <w:p>
      <w:pPr>
        <w:pStyle w:val="Heading1"/>
        <w:pBdr>
          <w:bottom w:val="single" w:color="1F4E79" w:sz="8" w:space="4"/>
        </w:pBdr>
        <w:spacing w:after="180" w:before="360"/>
      </w:pPr>
      <w:r>
        <w:rPr>
          <w:rFonts w:ascii="Calibri" w:cs="Calibri" w:eastAsia="Calibri" w:hAnsi="Calibri"/>
          <w:b/>
          <w:bCs/>
          <w:color w:val="1F4E79"/>
          <w:sz w:val="28"/>
          <w:szCs w:val="28"/>
        </w:rPr>
        <w:t xml:space="preserve">METABOLIC ACIDOSIS &amp; CKD PROGRESSION</w:t>
      </w:r>
    </w:p>
    <w:p>
      <w:pPr>
        <w:spacing w:after="60" w:before="60" w:line="276"/>
        <w:ind w:left="720" w:hanging="720"/>
      </w:pPr>
      <w:r>
        <w:rPr>
          <w:rFonts w:ascii="Calibri" w:cs="Calibri" w:eastAsia="Calibri" w:hAnsi="Calibri"/>
          <w:b/>
          <w:bCs/>
          <w:sz w:val="22"/>
          <w:szCs w:val="22"/>
        </w:rPr>
        <w:t xml:space="preserve">106.	</w:t>
      </w:r>
      <w:r>
        <w:rPr>
          <w:rFonts w:ascii="Calibri" w:cs="Calibri" w:eastAsia="Calibri" w:hAnsi="Calibri"/>
          <w:sz w:val="22"/>
          <w:szCs w:val="22"/>
        </w:rPr>
        <w:t xml:space="preserve">de Brito-Ashurst I, Varagunam M, Raftery MJ and Yaqoob MM (2009) Bicarbonate supplementation slows progression of CKD and improves nutritional status. Journal of the American Society of Nephrology, 20(9), pp.2075–2084. doi:10.1681/ASN.2008111205.</w:t>
      </w:r>
    </w:p>
    <w:p>
      <w:pPr>
        <w:spacing w:after="120" w:before="0"/>
        <w:ind w:left="720"/>
      </w:pPr>
      <w:r>
        <w:rPr>
          <w:rFonts w:ascii="Calibri" w:cs="Calibri" w:eastAsia="Calibri" w:hAnsi="Calibri"/>
          <w:b/>
          <w:bCs/>
          <w:i/>
          <w:iCs/>
          <w:color w:val="C00000"/>
          <w:sz w:val="20"/>
          <w:szCs w:val="20"/>
        </w:rPr>
        <w:t xml:space="preserve">Practice-Changing</w:t>
      </w:r>
    </w:p>
    <w:p>
      <w:pPr>
        <w:spacing w:after="60" w:before="60" w:line="276"/>
        <w:ind w:left="720" w:hanging="720"/>
      </w:pPr>
      <w:r>
        <w:rPr>
          <w:rFonts w:ascii="Calibri" w:cs="Calibri" w:eastAsia="Calibri" w:hAnsi="Calibri"/>
          <w:b/>
          <w:bCs/>
          <w:sz w:val="22"/>
          <w:szCs w:val="22"/>
        </w:rPr>
        <w:t xml:space="preserve">107.	</w:t>
      </w:r>
      <w:r>
        <w:rPr>
          <w:rFonts w:ascii="Calibri" w:cs="Calibri" w:eastAsia="Calibri" w:hAnsi="Calibri"/>
          <w:sz w:val="22"/>
          <w:szCs w:val="22"/>
        </w:rPr>
        <w:t xml:space="preserve">Goraya N, Simoni J, Jo CH and Wesson DE (2013) A comparison of treating metabolic acidosis in CKD stage 4 with fruits and vegetables or sodium bicarbonate. Clinical Journal of the American Society of Nephrology, 8(3), pp.371–381. doi:10.2215/CJN.02430312.</w:t>
      </w:r>
    </w:p>
    <w:p>
      <w:pPr>
        <w:spacing w:after="120" w:before="0"/>
        <w:ind w:left="720"/>
      </w:pPr>
      <w:r>
        <w:rPr>
          <w:rFonts w:ascii="Calibri" w:cs="Calibri" w:eastAsia="Calibri" w:hAnsi="Calibri"/>
          <w:b/>
          <w:bCs/>
          <w:i/>
          <w:iCs/>
          <w:color w:val="C00000"/>
          <w:sz w:val="20"/>
          <w:szCs w:val="20"/>
        </w:rPr>
        <w:t xml:space="preserve">Practice-Changing</w:t>
      </w:r>
    </w:p>
    <w:p>
      <w:pPr>
        <w:spacing w:after="60" w:before="60" w:line="276"/>
        <w:ind w:left="720" w:hanging="720"/>
      </w:pPr>
      <w:r>
        <w:rPr>
          <w:rFonts w:ascii="Calibri" w:cs="Calibri" w:eastAsia="Calibri" w:hAnsi="Calibri"/>
          <w:b/>
          <w:bCs/>
          <w:sz w:val="22"/>
          <w:szCs w:val="22"/>
        </w:rPr>
        <w:t xml:space="preserve">108.	</w:t>
      </w:r>
      <w:r>
        <w:rPr>
          <w:rFonts w:ascii="Calibri" w:cs="Calibri" w:eastAsia="Calibri" w:hAnsi="Calibri"/>
          <w:sz w:val="22"/>
          <w:szCs w:val="22"/>
        </w:rPr>
        <w:t xml:space="preserve">Raphael KL and Zhang Y (2019) Serum bicarbonate and mortality in adults in NHANES. Clinical Journal of the American Society of Nephrology, 14(2), pp.246–253. doi:10.2215/CJN.07490618.</w:t>
      </w:r>
    </w:p>
    <w:p>
      <w:pPr>
        <w:spacing w:after="120" w:before="0"/>
        <w:ind w:left="720"/>
      </w:pPr>
      <w:r>
        <w:rPr>
          <w:rFonts w:ascii="Calibri" w:cs="Calibri" w:eastAsia="Calibri" w:hAnsi="Calibri"/>
          <w:b/>
          <w:bCs/>
          <w:i/>
          <w:iCs/>
          <w:color w:val="C00000"/>
          <w:sz w:val="20"/>
          <w:szCs w:val="20"/>
        </w:rPr>
        <w:t xml:space="preserve">Prognostic</w:t>
      </w:r>
    </w:p>
    <w:p>
      <w:pPr>
        <w:pStyle w:val="Heading1"/>
        <w:pBdr>
          <w:bottom w:val="single" w:color="1F4E79" w:sz="8" w:space="4"/>
        </w:pBdr>
        <w:spacing w:after="180" w:before="360"/>
      </w:pPr>
      <w:r>
        <w:rPr>
          <w:rFonts w:ascii="Calibri" w:cs="Calibri" w:eastAsia="Calibri" w:hAnsi="Calibri"/>
          <w:b/>
          <w:bCs/>
          <w:color w:val="1F4E79"/>
          <w:sz w:val="28"/>
          <w:szCs w:val="28"/>
        </w:rPr>
        <w:t xml:space="preserve">SODIUM, VOLUME &amp; CKD</w:t>
      </w:r>
    </w:p>
    <w:p>
      <w:pPr>
        <w:spacing w:after="60" w:before="60" w:line="276"/>
        <w:ind w:left="720" w:hanging="720"/>
      </w:pPr>
      <w:r>
        <w:rPr>
          <w:rFonts w:ascii="Calibri" w:cs="Calibri" w:eastAsia="Calibri" w:hAnsi="Calibri"/>
          <w:b/>
          <w:bCs/>
          <w:sz w:val="22"/>
          <w:szCs w:val="22"/>
        </w:rPr>
        <w:t xml:space="preserve">109.	</w:t>
      </w:r>
      <w:r>
        <w:rPr>
          <w:rFonts w:ascii="Calibri" w:cs="Calibri" w:eastAsia="Calibri" w:hAnsi="Calibri"/>
          <w:sz w:val="22"/>
          <w:szCs w:val="22"/>
        </w:rPr>
        <w:t xml:space="preserve">He FJ and MacGregor GA (2009) A comprehensive review on salt and health and current experience of worldwide salt reduction programmes. Journal of Human Hypertension, 23(6), pp.363–384. doi:10.1038/jhh.2008.144.</w:t>
      </w:r>
    </w:p>
    <w:p>
      <w:pPr>
        <w:spacing w:after="120" w:before="0"/>
        <w:ind w:left="720"/>
      </w:pPr>
      <w:r>
        <w:rPr>
          <w:rFonts w:ascii="Calibri" w:cs="Calibri" w:eastAsia="Calibri" w:hAnsi="Calibri"/>
          <w:b/>
          <w:bCs/>
          <w:i/>
          <w:iCs/>
          <w:color w:val="C00000"/>
          <w:sz w:val="20"/>
          <w:szCs w:val="20"/>
        </w:rPr>
        <w:t xml:space="preserve">Foundational</w:t>
      </w:r>
    </w:p>
    <w:p>
      <w:pPr>
        <w:spacing w:after="60" w:before="60" w:line="276"/>
        <w:ind w:left="720" w:hanging="720"/>
      </w:pPr>
      <w:r>
        <w:rPr>
          <w:rFonts w:ascii="Calibri" w:cs="Calibri" w:eastAsia="Calibri" w:hAnsi="Calibri"/>
          <w:b/>
          <w:bCs/>
          <w:sz w:val="22"/>
          <w:szCs w:val="22"/>
        </w:rPr>
        <w:t xml:space="preserve">110.	</w:t>
      </w:r>
      <w:r>
        <w:rPr>
          <w:rFonts w:ascii="Calibri" w:cs="Calibri" w:eastAsia="Calibri" w:hAnsi="Calibri"/>
          <w:sz w:val="22"/>
          <w:szCs w:val="22"/>
        </w:rPr>
        <w:t xml:space="preserve">Suckling RJ, He FJ and MacGregor GA (2010) Altered dietary salt intake for preventing and treating diabetic kidney disease. Cochrane Database of Systematic Reviews, 12, CD006763. doi:10.1002/14651858.CD006763.pub2.</w:t>
      </w:r>
    </w:p>
    <w:p>
      <w:pPr>
        <w:spacing w:after="120" w:before="0"/>
        <w:ind w:left="720"/>
      </w:pPr>
      <w:r>
        <w:rPr>
          <w:rFonts w:ascii="Calibri" w:cs="Calibri" w:eastAsia="Calibri" w:hAnsi="Calibri"/>
          <w:b/>
          <w:bCs/>
          <w:i/>
          <w:iCs/>
          <w:color w:val="C00000"/>
          <w:sz w:val="20"/>
          <w:szCs w:val="20"/>
        </w:rPr>
        <w:t xml:space="preserve">Evidence Synthesis</w:t>
      </w:r>
    </w:p>
    <w:p>
      <w:pPr>
        <w:pStyle w:val="Heading1"/>
        <w:pBdr>
          <w:bottom w:val="single" w:color="1F4E79" w:sz="8" w:space="4"/>
        </w:pBdr>
        <w:spacing w:after="180" w:before="360"/>
      </w:pPr>
      <w:r>
        <w:rPr>
          <w:rFonts w:ascii="Calibri" w:cs="Calibri" w:eastAsia="Calibri" w:hAnsi="Calibri"/>
          <w:b/>
          <w:bCs/>
          <w:color w:val="1F4E79"/>
          <w:sz w:val="28"/>
          <w:szCs w:val="28"/>
        </w:rPr>
        <w:t xml:space="preserve">DIALYSIS HEMODYNAMICS &amp; ULTRAFILTRATION</w:t>
      </w:r>
    </w:p>
    <w:p>
      <w:pPr>
        <w:spacing w:after="60" w:before="60" w:line="276"/>
        <w:ind w:left="720" w:hanging="720"/>
      </w:pPr>
      <w:r>
        <w:rPr>
          <w:rFonts w:ascii="Calibri" w:cs="Calibri" w:eastAsia="Calibri" w:hAnsi="Calibri"/>
          <w:b/>
          <w:bCs/>
          <w:sz w:val="22"/>
          <w:szCs w:val="22"/>
        </w:rPr>
        <w:t xml:space="preserve">111.	</w:t>
      </w:r>
      <w:r>
        <w:rPr>
          <w:rFonts w:ascii="Calibri" w:cs="Calibri" w:eastAsia="Calibri" w:hAnsi="Calibri"/>
          <w:sz w:val="22"/>
          <w:szCs w:val="22"/>
        </w:rPr>
        <w:t xml:space="preserve">Flythe JE, Kimmel SE and Brunelli SM (2011) Rapid fluid removal during dialysis is associated with cardiovascular morbidity and mortality. Kidney International, 79(2), pp.250–257. doi:10.1038/ki.2010.383.</w:t>
      </w:r>
    </w:p>
    <w:p>
      <w:pPr>
        <w:spacing w:after="120" w:before="0"/>
        <w:ind w:left="720"/>
      </w:pPr>
      <w:r>
        <w:rPr>
          <w:rFonts w:ascii="Calibri" w:cs="Calibri" w:eastAsia="Calibri" w:hAnsi="Calibri"/>
          <w:b/>
          <w:bCs/>
          <w:i/>
          <w:iCs/>
          <w:color w:val="C00000"/>
          <w:sz w:val="20"/>
          <w:szCs w:val="20"/>
        </w:rPr>
        <w:t xml:space="preserve">Practice-Changing</w:t>
      </w:r>
    </w:p>
    <w:p>
      <w:pPr>
        <w:spacing w:after="60" w:before="60" w:line="276"/>
        <w:ind w:left="720" w:hanging="720"/>
      </w:pPr>
      <w:r>
        <w:rPr>
          <w:rFonts w:ascii="Calibri" w:cs="Calibri" w:eastAsia="Calibri" w:hAnsi="Calibri"/>
          <w:b/>
          <w:bCs/>
          <w:sz w:val="22"/>
          <w:szCs w:val="22"/>
        </w:rPr>
        <w:t xml:space="preserve">112.	</w:t>
      </w:r>
      <w:r>
        <w:rPr>
          <w:rFonts w:ascii="Calibri" w:cs="Calibri" w:eastAsia="Calibri" w:hAnsi="Calibri"/>
          <w:sz w:val="22"/>
          <w:szCs w:val="22"/>
        </w:rPr>
        <w:t xml:space="preserve">Burton JO, Jefferies HJ, Selby NM and McIntyre CW (2009) Hemodialysis-induced cardiac injury: determinants and associated outcomes. Clinical Journal of the American Society of Nephrology, 4(5), pp.914–920. doi:10.2215/CJN.03900808.</w:t>
      </w:r>
    </w:p>
    <w:p>
      <w:pPr>
        <w:spacing w:after="120" w:before="0"/>
        <w:ind w:left="720"/>
      </w:pPr>
      <w:r>
        <w:rPr>
          <w:rFonts w:ascii="Calibri" w:cs="Calibri" w:eastAsia="Calibri" w:hAnsi="Calibri"/>
          <w:b/>
          <w:bCs/>
          <w:i/>
          <w:iCs/>
          <w:color w:val="C00000"/>
          <w:sz w:val="20"/>
          <w:szCs w:val="20"/>
        </w:rPr>
        <w:t xml:space="preserve">Foundational</w:t>
      </w:r>
    </w:p>
    <w:p>
      <w:pPr>
        <w:spacing w:after="60" w:before="60" w:line="276"/>
        <w:ind w:left="720" w:hanging="720"/>
      </w:pPr>
      <w:r>
        <w:rPr>
          <w:rFonts w:ascii="Calibri" w:cs="Calibri" w:eastAsia="Calibri" w:hAnsi="Calibri"/>
          <w:b/>
          <w:bCs/>
          <w:sz w:val="22"/>
          <w:szCs w:val="22"/>
        </w:rPr>
        <w:t xml:space="preserve">113.	</w:t>
      </w:r>
      <w:r>
        <w:rPr>
          <w:rFonts w:ascii="Calibri" w:cs="Calibri" w:eastAsia="Calibri" w:hAnsi="Calibri"/>
          <w:sz w:val="22"/>
          <w:szCs w:val="22"/>
        </w:rPr>
        <w:t xml:space="preserve">McIntyre CW (2010) Effects of hemodialysis on cardiac function. Kidney International, 76(4), pp.371–375. doi:10.1038/ki.2009.207.</w:t>
      </w:r>
    </w:p>
    <w:p>
      <w:pPr>
        <w:spacing w:after="120" w:before="0"/>
        <w:ind w:left="720"/>
      </w:pPr>
      <w:r>
        <w:rPr>
          <w:rFonts w:ascii="Calibri" w:cs="Calibri" w:eastAsia="Calibri" w:hAnsi="Calibri"/>
          <w:b/>
          <w:bCs/>
          <w:i/>
          <w:iCs/>
          <w:color w:val="C00000"/>
          <w:sz w:val="20"/>
          <w:szCs w:val="20"/>
        </w:rPr>
        <w:t xml:space="preserve">Cardiodialysis Classic</w:t>
      </w:r>
    </w:p>
    <w:p>
      <w:pPr>
        <w:pStyle w:val="Heading1"/>
        <w:pBdr>
          <w:bottom w:val="single" w:color="1F4E79" w:sz="8" w:space="4"/>
        </w:pBdr>
        <w:spacing w:after="180" w:before="360"/>
      </w:pPr>
      <w:r>
        <w:rPr>
          <w:rFonts w:ascii="Calibri" w:cs="Calibri" w:eastAsia="Calibri" w:hAnsi="Calibri"/>
          <w:b/>
          <w:bCs/>
          <w:color w:val="1F4E79"/>
          <w:sz w:val="28"/>
          <w:szCs w:val="28"/>
        </w:rPr>
        <w:t xml:space="preserve">PREGNANCY &amp; CKD</w:t>
      </w:r>
    </w:p>
    <w:p>
      <w:pPr>
        <w:spacing w:after="60" w:before="60" w:line="276"/>
        <w:ind w:left="720" w:hanging="720"/>
      </w:pPr>
      <w:r>
        <w:rPr>
          <w:rFonts w:ascii="Calibri" w:cs="Calibri" w:eastAsia="Calibri" w:hAnsi="Calibri"/>
          <w:b/>
          <w:bCs/>
          <w:sz w:val="22"/>
          <w:szCs w:val="22"/>
        </w:rPr>
        <w:t xml:space="preserve">114.	</w:t>
      </w:r>
      <w:r>
        <w:rPr>
          <w:rFonts w:ascii="Calibri" w:cs="Calibri" w:eastAsia="Calibri" w:hAnsi="Calibri"/>
          <w:sz w:val="22"/>
          <w:szCs w:val="22"/>
        </w:rPr>
        <w:t xml:space="preserve">Piccoli GB, Cabiddu G, Castellino S, Gernone G, Santoro D, Moroni G, Giacchino F, Attini R, Pani A and Todros T (2015) A systematic approach to pregnancy in CKD. Kidney International, 87(6), pp.1119–1131. doi:10.1038/ki.2015.21.</w:t>
      </w:r>
    </w:p>
    <w:p>
      <w:pPr>
        <w:spacing w:after="120" w:before="0"/>
        <w:ind w:left="720"/>
      </w:pPr>
      <w:r>
        <w:rPr>
          <w:rFonts w:ascii="Calibri" w:cs="Calibri" w:eastAsia="Calibri" w:hAnsi="Calibri"/>
          <w:b/>
          <w:bCs/>
          <w:i/>
          <w:iCs/>
          <w:color w:val="C00000"/>
          <w:sz w:val="20"/>
          <w:szCs w:val="20"/>
        </w:rPr>
        <w:t xml:space="preserve">Foundational</w:t>
      </w:r>
    </w:p>
    <w:p>
      <w:pPr>
        <w:spacing w:after="60" w:before="60" w:line="276"/>
        <w:ind w:left="720" w:hanging="720"/>
      </w:pPr>
      <w:r>
        <w:rPr>
          <w:rFonts w:ascii="Calibri" w:cs="Calibri" w:eastAsia="Calibri" w:hAnsi="Calibri"/>
          <w:b/>
          <w:bCs/>
          <w:sz w:val="22"/>
          <w:szCs w:val="22"/>
        </w:rPr>
        <w:t xml:space="preserve">115.	</w:t>
      </w:r>
      <w:r>
        <w:rPr>
          <w:rFonts w:ascii="Calibri" w:cs="Calibri" w:eastAsia="Calibri" w:hAnsi="Calibri"/>
          <w:sz w:val="22"/>
          <w:szCs w:val="22"/>
        </w:rPr>
        <w:t xml:space="preserve">Imbasciati E, Gregorini G, Cabiddu G, Gammaro L, Ambroso G, Del Giudice A, Ravani P and Colussi G (2007) Pregnancy in CKD stages 3 to 5. American Journal of Kidney Diseases, 49(6), pp.753–762. doi:10.1053/j.ajkd.2007.03.018.</w:t>
      </w:r>
    </w:p>
    <w:p>
      <w:pPr>
        <w:spacing w:after="120" w:before="0"/>
        <w:ind w:left="720"/>
      </w:pPr>
      <w:r>
        <w:rPr>
          <w:rFonts w:ascii="Calibri" w:cs="Calibri" w:eastAsia="Calibri" w:hAnsi="Calibri"/>
          <w:b/>
          <w:bCs/>
          <w:i/>
          <w:iCs/>
          <w:color w:val="C00000"/>
          <w:sz w:val="20"/>
          <w:szCs w:val="20"/>
        </w:rPr>
        <w:t xml:space="preserve">Foundational</w:t>
      </w:r>
    </w:p>
    <w:p>
      <w:pPr>
        <w:pStyle w:val="Heading1"/>
        <w:pBdr>
          <w:bottom w:val="single" w:color="1F4E79" w:sz="8" w:space="4"/>
        </w:pBdr>
        <w:spacing w:after="180" w:before="360"/>
      </w:pPr>
      <w:r>
        <w:rPr>
          <w:rFonts w:ascii="Calibri" w:cs="Calibri" w:eastAsia="Calibri" w:hAnsi="Calibri"/>
          <w:b/>
          <w:bCs/>
          <w:color w:val="1F4E79"/>
          <w:sz w:val="28"/>
          <w:szCs w:val="28"/>
        </w:rPr>
        <w:t xml:space="preserve">OBESITY, CKD &amp; METABOLIC INTERFACE</w:t>
      </w:r>
    </w:p>
    <w:p>
      <w:pPr>
        <w:spacing w:after="60" w:before="60" w:line="276"/>
        <w:ind w:left="720" w:hanging="720"/>
      </w:pPr>
      <w:r>
        <w:rPr>
          <w:rFonts w:ascii="Calibri" w:cs="Calibri" w:eastAsia="Calibri" w:hAnsi="Calibri"/>
          <w:b/>
          <w:bCs/>
          <w:sz w:val="22"/>
          <w:szCs w:val="22"/>
        </w:rPr>
        <w:t xml:space="preserve">116.	</w:t>
      </w:r>
      <w:r>
        <w:rPr>
          <w:rFonts w:ascii="Calibri" w:cs="Calibri" w:eastAsia="Calibri" w:hAnsi="Calibri"/>
          <w:sz w:val="22"/>
          <w:szCs w:val="22"/>
        </w:rPr>
        <w:t xml:space="preserve">Hall JE, do Carmo JM, da Silva AA, Wang Z and Hall ME (2015) Obesity-induced hypertension. Circulation Research, 116(6), pp.991–1006. doi:10.1161/CIRCRESAHA.116.305697.</w:t>
      </w:r>
    </w:p>
    <w:p>
      <w:pPr>
        <w:spacing w:after="120" w:before="0"/>
        <w:ind w:left="720"/>
      </w:pPr>
      <w:r>
        <w:rPr>
          <w:rFonts w:ascii="Calibri" w:cs="Calibri" w:eastAsia="Calibri" w:hAnsi="Calibri"/>
          <w:b/>
          <w:bCs/>
          <w:i/>
          <w:iCs/>
          <w:color w:val="C00000"/>
          <w:sz w:val="20"/>
          <w:szCs w:val="20"/>
        </w:rPr>
        <w:t xml:space="preserve">Pathophysiology</w:t>
      </w:r>
    </w:p>
    <w:p>
      <w:pPr>
        <w:spacing w:after="60" w:before="60" w:line="276"/>
        <w:ind w:left="720" w:hanging="720"/>
      </w:pPr>
      <w:r>
        <w:rPr>
          <w:rFonts w:ascii="Calibri" w:cs="Calibri" w:eastAsia="Calibri" w:hAnsi="Calibri"/>
          <w:b/>
          <w:bCs/>
          <w:sz w:val="22"/>
          <w:szCs w:val="22"/>
        </w:rPr>
        <w:t xml:space="preserve">117.	</w:t>
      </w:r>
      <w:r>
        <w:rPr>
          <w:rFonts w:ascii="Calibri" w:cs="Calibri" w:eastAsia="Calibri" w:hAnsi="Calibri"/>
          <w:sz w:val="22"/>
          <w:szCs w:val="22"/>
        </w:rPr>
        <w:t xml:space="preserve">Kramer H, Luke A, Bidani A, Cao G, Cooper R and McGee D (2005) Obesity and prevalent and incident CKD. American Journal of Kidney Diseases, 46(4), pp.587–594. doi:10.1053/j.ajkd.2005.06.007.</w:t>
      </w:r>
    </w:p>
    <w:p>
      <w:pPr>
        <w:spacing w:after="120" w:before="0"/>
        <w:ind w:left="720"/>
      </w:pPr>
      <w:r>
        <w:rPr>
          <w:rFonts w:ascii="Calibri" w:cs="Calibri" w:eastAsia="Calibri" w:hAnsi="Calibri"/>
          <w:b/>
          <w:bCs/>
          <w:i/>
          <w:iCs/>
          <w:color w:val="C00000"/>
          <w:sz w:val="20"/>
          <w:szCs w:val="20"/>
        </w:rPr>
        <w:t xml:space="preserve">Epidemiologic Foundational</w:t>
      </w:r>
    </w:p>
    <w:p>
      <w:pPr>
        <w:pStyle w:val="Heading1"/>
        <w:pBdr>
          <w:bottom w:val="single" w:color="1F4E79" w:sz="8" w:space="4"/>
        </w:pBdr>
        <w:spacing w:after="180" w:before="360"/>
      </w:pPr>
      <w:r>
        <w:rPr>
          <w:rFonts w:ascii="Calibri" w:cs="Calibri" w:eastAsia="Calibri" w:hAnsi="Calibri"/>
          <w:b/>
          <w:bCs/>
          <w:color w:val="1F4E79"/>
          <w:sz w:val="28"/>
          <w:szCs w:val="28"/>
        </w:rPr>
        <w:t xml:space="preserve">ONCONEPHROLOGY &amp; IMMUNE CHECKPOINT INHIBITORS</w:t>
      </w:r>
    </w:p>
    <w:p>
      <w:pPr>
        <w:spacing w:after="60" w:before="60" w:line="276"/>
        <w:ind w:left="720" w:hanging="720"/>
      </w:pPr>
      <w:r>
        <w:rPr>
          <w:rFonts w:ascii="Calibri" w:cs="Calibri" w:eastAsia="Calibri" w:hAnsi="Calibri"/>
          <w:b/>
          <w:bCs/>
          <w:sz w:val="22"/>
          <w:szCs w:val="22"/>
        </w:rPr>
        <w:t xml:space="preserve">118.	</w:t>
      </w:r>
      <w:r>
        <w:rPr>
          <w:rFonts w:ascii="Calibri" w:cs="Calibri" w:eastAsia="Calibri" w:hAnsi="Calibri"/>
          <w:sz w:val="22"/>
          <w:szCs w:val="22"/>
        </w:rPr>
        <w:t xml:space="preserve">Cortazar FB, Marrone KA, Troxell ML, Ralto KM, Hoenig MP, Brahmer JR, Le DT, Lipson EJ, Glezerman IG, Wolchok J et al. (2016) Clinicopathological features of acute kidney injury associated with immune checkpoint inhibitors. Kidney International, 90(3), pp.638–647. doi:10.1016/j.kint.2016.04.008.</w:t>
      </w:r>
    </w:p>
    <w:p>
      <w:pPr>
        <w:spacing w:after="120" w:before="0"/>
        <w:ind w:left="720"/>
      </w:pPr>
      <w:r>
        <w:rPr>
          <w:rFonts w:ascii="Calibri" w:cs="Calibri" w:eastAsia="Calibri" w:hAnsi="Calibri"/>
          <w:b/>
          <w:bCs/>
          <w:i/>
          <w:iCs/>
          <w:color w:val="C00000"/>
          <w:sz w:val="20"/>
          <w:szCs w:val="20"/>
        </w:rPr>
        <w:t xml:space="preserve">Practice-Changing</w:t>
      </w:r>
    </w:p>
    <w:p>
      <w:pPr>
        <w:spacing w:after="60" w:before="60" w:line="276"/>
        <w:ind w:left="720" w:hanging="720"/>
      </w:pPr>
      <w:r>
        <w:rPr>
          <w:rFonts w:ascii="Calibri" w:cs="Calibri" w:eastAsia="Calibri" w:hAnsi="Calibri"/>
          <w:b/>
          <w:bCs/>
          <w:sz w:val="22"/>
          <w:szCs w:val="22"/>
        </w:rPr>
        <w:t xml:space="preserve">119.	</w:t>
      </w:r>
      <w:r>
        <w:rPr>
          <w:rFonts w:ascii="Calibri" w:cs="Calibri" w:eastAsia="Calibri" w:hAnsi="Calibri"/>
          <w:sz w:val="22"/>
          <w:szCs w:val="22"/>
        </w:rPr>
        <w:t xml:space="preserve">Seethapathy H and Herrmann SM (2021) Immune checkpoint inhibitor-associated kidney injury. Nature Reviews Nephrology, 17(12), pp.821–833. doi:10.1038/s41581-021-00457-7.</w:t>
      </w:r>
    </w:p>
    <w:p>
      <w:pPr>
        <w:spacing w:after="120" w:before="0"/>
        <w:ind w:left="720"/>
      </w:pPr>
      <w:r>
        <w:rPr>
          <w:rFonts w:ascii="Calibri" w:cs="Calibri" w:eastAsia="Calibri" w:hAnsi="Calibri"/>
          <w:b/>
          <w:bCs/>
          <w:i/>
          <w:iCs/>
          <w:color w:val="C00000"/>
          <w:sz w:val="20"/>
          <w:szCs w:val="20"/>
        </w:rPr>
        <w:t xml:space="preserve">Foundational Review</w:t>
      </w:r>
    </w:p>
    <w:p>
      <w:pPr>
        <w:pStyle w:val="Heading1"/>
        <w:pBdr>
          <w:bottom w:val="single" w:color="1F4E79" w:sz="8" w:space="4"/>
        </w:pBdr>
        <w:spacing w:after="180" w:before="360"/>
      </w:pPr>
      <w:r>
        <w:rPr>
          <w:rFonts w:ascii="Calibri" w:cs="Calibri" w:eastAsia="Calibri" w:hAnsi="Calibri"/>
          <w:b/>
          <w:bCs/>
          <w:color w:val="1F4E79"/>
          <w:sz w:val="28"/>
          <w:szCs w:val="28"/>
        </w:rPr>
        <w:t xml:space="preserve">GUT–KIDNEY AXIS</w:t>
      </w:r>
    </w:p>
    <w:p>
      <w:pPr>
        <w:spacing w:after="60" w:before="60" w:line="276"/>
        <w:ind w:left="720" w:hanging="720"/>
      </w:pPr>
      <w:r>
        <w:rPr>
          <w:rFonts w:ascii="Calibri" w:cs="Calibri" w:eastAsia="Calibri" w:hAnsi="Calibri"/>
          <w:b/>
          <w:bCs/>
          <w:sz w:val="22"/>
          <w:szCs w:val="22"/>
        </w:rPr>
        <w:t xml:space="preserve">120.	</w:t>
      </w:r>
      <w:r>
        <w:rPr>
          <w:rFonts w:ascii="Calibri" w:cs="Calibri" w:eastAsia="Calibri" w:hAnsi="Calibri"/>
          <w:sz w:val="22"/>
          <w:szCs w:val="22"/>
        </w:rPr>
        <w:t xml:space="preserve">Vaziri ND, Wong J, Pahl M, Piceno YM, Yuan J, DeSantis TZ, Ni Z and Nguyen TH (2013) Chronic kidney disease alters intestinal microbial flora. Kidney International, 83(2), pp.308–315. doi:10.1038/ki.2012.345.</w:t>
      </w:r>
    </w:p>
    <w:p>
      <w:pPr>
        <w:spacing w:after="120" w:before="0"/>
        <w:ind w:left="720"/>
      </w:pPr>
      <w:r>
        <w:rPr>
          <w:rFonts w:ascii="Calibri" w:cs="Calibri" w:eastAsia="Calibri" w:hAnsi="Calibri"/>
          <w:b/>
          <w:bCs/>
          <w:i/>
          <w:iCs/>
          <w:color w:val="C00000"/>
          <w:sz w:val="20"/>
          <w:szCs w:val="20"/>
        </w:rPr>
        <w:t xml:space="preserve">Foundational</w:t>
      </w:r>
    </w:p>
    <w:p>
      <w:pPr>
        <w:pStyle w:val="Heading1"/>
        <w:pBdr>
          <w:bottom w:val="single" w:color="1F4E79" w:sz="8" w:space="4"/>
        </w:pBdr>
        <w:spacing w:after="180" w:before="360"/>
      </w:pPr>
      <w:r>
        <w:rPr>
          <w:rFonts w:ascii="Calibri" w:cs="Calibri" w:eastAsia="Calibri" w:hAnsi="Calibri"/>
          <w:b/>
          <w:bCs/>
          <w:color w:val="1F4E79"/>
          <w:sz w:val="28"/>
          <w:szCs w:val="28"/>
        </w:rPr>
        <w:t xml:space="preserve">HYPERKALEMIA MANAGEMENT ERA</w:t>
      </w:r>
    </w:p>
    <w:p>
      <w:pPr>
        <w:spacing w:after="60" w:before="60" w:line="276"/>
        <w:ind w:left="720" w:hanging="720"/>
      </w:pPr>
      <w:r>
        <w:rPr>
          <w:rFonts w:ascii="Calibri" w:cs="Calibri" w:eastAsia="Calibri" w:hAnsi="Calibri"/>
          <w:b/>
          <w:bCs/>
          <w:sz w:val="22"/>
          <w:szCs w:val="22"/>
        </w:rPr>
        <w:t xml:space="preserve">121.	</w:t>
      </w:r>
      <w:r>
        <w:rPr>
          <w:rFonts w:ascii="Calibri" w:cs="Calibri" w:eastAsia="Calibri" w:hAnsi="Calibri"/>
          <w:sz w:val="22"/>
          <w:szCs w:val="22"/>
        </w:rPr>
        <w:t xml:space="preserve">Weir MR, Bakris GL, Bushinsky DA, Mayo MR, Garza D, Stasiv Y, Wittes J and Pitt B (2015) Patiromer in patients with kidney disease and hyperkalemia receiving RAAS inhibitors. New England Journal of Medicine, 372(3), pp.211–221. doi:10.1056/NEJMoa1410853.</w:t>
      </w:r>
    </w:p>
    <w:p>
      <w:pPr>
        <w:spacing w:after="120" w:before="0"/>
        <w:ind w:left="720"/>
      </w:pPr>
      <w:r>
        <w:rPr>
          <w:rFonts w:ascii="Calibri" w:cs="Calibri" w:eastAsia="Calibri" w:hAnsi="Calibri"/>
          <w:b/>
          <w:bCs/>
          <w:i/>
          <w:iCs/>
          <w:color w:val="C00000"/>
          <w:sz w:val="20"/>
          <w:szCs w:val="20"/>
        </w:rPr>
        <w:t xml:space="preserve">Practice-Changing</w:t>
      </w:r>
    </w:p>
    <w:p>
      <w:pPr>
        <w:spacing w:after="60" w:before="60" w:line="276"/>
        <w:ind w:left="720" w:hanging="720"/>
      </w:pPr>
      <w:r>
        <w:rPr>
          <w:rFonts w:ascii="Calibri" w:cs="Calibri" w:eastAsia="Calibri" w:hAnsi="Calibri"/>
          <w:b/>
          <w:bCs/>
          <w:sz w:val="22"/>
          <w:szCs w:val="22"/>
        </w:rPr>
        <w:t xml:space="preserve">122.	</w:t>
      </w:r>
      <w:r>
        <w:rPr>
          <w:rFonts w:ascii="Calibri" w:cs="Calibri" w:eastAsia="Calibri" w:hAnsi="Calibri"/>
          <w:sz w:val="22"/>
          <w:szCs w:val="22"/>
        </w:rPr>
        <w:t xml:space="preserve">Kosiborod M, Rasmussen HS, Lavin P, Qunibi WY, Spinowitz B, Packham D, Roger SD, Yang A, Lerma E, Singh B et al. (2014) Effect of sodium zirconium cyclosilicate on potassium lowering. New England Journal of Medicine, 372(3), pp.222–231. doi:10.1056/NEJMoa1411487.</w:t>
      </w:r>
    </w:p>
    <w:p>
      <w:pPr>
        <w:spacing w:after="120" w:before="0"/>
        <w:ind w:left="720"/>
      </w:pPr>
      <w:r>
        <w:rPr>
          <w:rFonts w:ascii="Calibri" w:cs="Calibri" w:eastAsia="Calibri" w:hAnsi="Calibri"/>
          <w:b/>
          <w:bCs/>
          <w:i/>
          <w:iCs/>
          <w:color w:val="C00000"/>
          <w:sz w:val="20"/>
          <w:szCs w:val="20"/>
        </w:rPr>
        <w:t xml:space="preserve">Practice-Changing</w:t>
      </w:r>
    </w:p>
    <w:p>
      <w:pPr>
        <w:pStyle w:val="Heading1"/>
        <w:pBdr>
          <w:bottom w:val="single" w:color="1F4E79" w:sz="8" w:space="4"/>
        </w:pBdr>
        <w:spacing w:after="180" w:before="360"/>
      </w:pPr>
      <w:r>
        <w:rPr>
          <w:rFonts w:ascii="Calibri" w:cs="Calibri" w:eastAsia="Calibri" w:hAnsi="Calibri"/>
          <w:b/>
          <w:bCs/>
          <w:color w:val="1F4E79"/>
          <w:sz w:val="28"/>
          <w:szCs w:val="28"/>
        </w:rPr>
        <w:t xml:space="preserve">CKD EPIDEMIOLOGY &amp; BURDEN</w:t>
      </w:r>
    </w:p>
    <w:p>
      <w:pPr>
        <w:spacing w:after="60" w:before="60" w:line="276"/>
        <w:ind w:left="720" w:hanging="720"/>
      </w:pPr>
      <w:r>
        <w:rPr>
          <w:rFonts w:ascii="Calibri" w:cs="Calibri" w:eastAsia="Calibri" w:hAnsi="Calibri"/>
          <w:b/>
          <w:bCs/>
          <w:sz w:val="22"/>
          <w:szCs w:val="22"/>
        </w:rPr>
        <w:t xml:space="preserve">123.	</w:t>
      </w:r>
      <w:r>
        <w:rPr>
          <w:rFonts w:ascii="Calibri" w:cs="Calibri" w:eastAsia="Calibri" w:hAnsi="Calibri"/>
          <w:sz w:val="22"/>
          <w:szCs w:val="22"/>
        </w:rPr>
        <w:t xml:space="preserve">Coresh J, Selvin E, Stevens LA, Manzi J, Kusek JW, Eggers P, Van Lente F and Levey AS (2007) Prevalence of chronic kidney disease in the United States. JAMA, 298(17), pp.2038–2047. doi:10.1001/jama.298.17.2038.</w:t>
      </w:r>
    </w:p>
    <w:p>
      <w:pPr>
        <w:spacing w:after="120" w:before="0"/>
        <w:ind w:left="720"/>
      </w:pPr>
      <w:r>
        <w:rPr>
          <w:rFonts w:ascii="Calibri" w:cs="Calibri" w:eastAsia="Calibri" w:hAnsi="Calibri"/>
          <w:b/>
          <w:bCs/>
          <w:i/>
          <w:iCs/>
          <w:color w:val="C00000"/>
          <w:sz w:val="20"/>
          <w:szCs w:val="20"/>
        </w:rPr>
        <w:t xml:space="preserve">Foundational</w:t>
      </w:r>
    </w:p>
    <w:p>
      <w:pPr>
        <w:spacing w:after="60" w:before="60" w:line="276"/>
        <w:ind w:left="720" w:hanging="720"/>
      </w:pPr>
      <w:r>
        <w:rPr>
          <w:rFonts w:ascii="Calibri" w:cs="Calibri" w:eastAsia="Calibri" w:hAnsi="Calibri"/>
          <w:b/>
          <w:bCs/>
          <w:sz w:val="22"/>
          <w:szCs w:val="22"/>
        </w:rPr>
        <w:t xml:space="preserve">124.	</w:t>
      </w:r>
      <w:r>
        <w:rPr>
          <w:rFonts w:ascii="Calibri" w:cs="Calibri" w:eastAsia="Calibri" w:hAnsi="Calibri"/>
          <w:sz w:val="22"/>
          <w:szCs w:val="22"/>
        </w:rPr>
        <w:t xml:space="preserve">Bikbov B, Purcell CA, Levey AS, Smith M, Abdoli A, Abebe M, Adebayo OM, Afarideh M, Agarwal SK, Agudelo-Botero M et al. (2020) Global, regional, and national burden of chronic kidney disease, 1990–2017. Lancet, 395(10225), pp.709–733. doi:10.1016/S0140-6736(20)30045-3.</w:t>
      </w:r>
    </w:p>
    <w:p>
      <w:pPr>
        <w:spacing w:after="120" w:before="0"/>
        <w:ind w:left="720"/>
      </w:pPr>
      <w:r>
        <w:rPr>
          <w:rFonts w:ascii="Calibri" w:cs="Calibri" w:eastAsia="Calibri" w:hAnsi="Calibri"/>
          <w:b/>
          <w:bCs/>
          <w:i/>
          <w:iCs/>
          <w:color w:val="C00000"/>
          <w:sz w:val="20"/>
          <w:szCs w:val="20"/>
        </w:rPr>
        <w:t xml:space="preserve">Global Landmark</w:t>
      </w:r>
    </w:p>
    <w:p>
      <w:pPr>
        <w:pStyle w:val="Heading1"/>
        <w:pBdr>
          <w:bottom w:val="single" w:color="1F4E79" w:sz="8" w:space="4"/>
        </w:pBdr>
        <w:spacing w:after="180" w:before="360"/>
      </w:pPr>
      <w:r>
        <w:rPr>
          <w:rFonts w:ascii="Calibri" w:cs="Calibri" w:eastAsia="Calibri" w:hAnsi="Calibri"/>
          <w:b/>
          <w:bCs/>
          <w:color w:val="1F4E79"/>
          <w:sz w:val="28"/>
          <w:szCs w:val="28"/>
        </w:rPr>
        <w:t xml:space="preserve">PRECISION NEPHROLOGY</w:t>
      </w:r>
    </w:p>
    <w:p>
      <w:pPr>
        <w:spacing w:after="60" w:before="60" w:line="276"/>
        <w:ind w:left="720" w:hanging="720"/>
      </w:pPr>
      <w:r>
        <w:rPr>
          <w:rFonts w:ascii="Calibri" w:cs="Calibri" w:eastAsia="Calibri" w:hAnsi="Calibri"/>
          <w:b/>
          <w:bCs/>
          <w:sz w:val="22"/>
          <w:szCs w:val="22"/>
        </w:rPr>
        <w:t xml:space="preserve">125.	</w:t>
      </w:r>
      <w:r>
        <w:rPr>
          <w:rFonts w:ascii="Calibri" w:cs="Calibri" w:eastAsia="Calibri" w:hAnsi="Calibri"/>
          <w:sz w:val="22"/>
          <w:szCs w:val="22"/>
        </w:rPr>
        <w:t xml:space="preserve">Malone AF and Humphreys BD (2018) Single-cell transcriptomics and the kidney. Journal of the American Society of Nephrology, 29(7), pp.1616–1623. doi:10.1681/ASN.2017121264.</w:t>
      </w:r>
    </w:p>
    <w:p>
      <w:pPr>
        <w:spacing w:after="120" w:before="0"/>
        <w:ind w:left="720"/>
      </w:pPr>
      <w:r>
        <w:rPr>
          <w:rFonts w:ascii="Calibri" w:cs="Calibri" w:eastAsia="Calibri" w:hAnsi="Calibri"/>
          <w:b/>
          <w:bCs/>
          <w:i/>
          <w:iCs/>
          <w:color w:val="C00000"/>
          <w:sz w:val="20"/>
          <w:szCs w:val="20"/>
        </w:rPr>
        <w:t xml:space="preserve">Precision Era Foundational</w:t>
      </w:r>
    </w:p>
    <w:p>
      <w:pPr>
        <w:pStyle w:val="Heading1"/>
        <w:pBdr>
          <w:bottom w:val="single" w:color="1F4E79" w:sz="8" w:space="4"/>
        </w:pBdr>
        <w:spacing w:after="180" w:before="360"/>
      </w:pPr>
      <w:r>
        <w:rPr>
          <w:rFonts w:ascii="Calibri" w:cs="Calibri" w:eastAsia="Calibri" w:hAnsi="Calibri"/>
          <w:b/>
          <w:bCs/>
          <w:color w:val="1F4E79"/>
          <w:sz w:val="28"/>
          <w:szCs w:val="28"/>
        </w:rPr>
        <w:t xml:space="preserve">ADVANCED COMPLEMENT &amp; GLOMERULAR THERAPEUTICS</w:t>
      </w:r>
    </w:p>
    <w:p>
      <w:pPr>
        <w:spacing w:after="60" w:before="60" w:line="276"/>
        <w:ind w:left="720" w:hanging="720"/>
      </w:pPr>
      <w:r>
        <w:rPr>
          <w:rFonts w:ascii="Calibri" w:cs="Calibri" w:eastAsia="Calibri" w:hAnsi="Calibri"/>
          <w:b/>
          <w:bCs/>
          <w:sz w:val="22"/>
          <w:szCs w:val="22"/>
        </w:rPr>
        <w:t xml:space="preserve">126.	</w:t>
      </w:r>
      <w:r>
        <w:rPr>
          <w:rFonts w:ascii="Calibri" w:cs="Calibri" w:eastAsia="Calibri" w:hAnsi="Calibri"/>
          <w:sz w:val="22"/>
          <w:szCs w:val="22"/>
        </w:rPr>
        <w:t xml:space="preserve">Rovin BH, Solomons N, Pendergraft WF, Dooley MA, Tumlin J, Romero-Diaz J, Lysenko L, Navarra SV, Huizinga RB, Tesar V et al. (2019) A randomized, controlled double-blind study comparing the efficacy and safety of CCX168 (avacopan) to prednisone in ANCA-associated vasculitis. Journal of the American Society of Nephrology, 30(11), pp.2075–2086. doi:10.1681/ASN.2019050479.</w:t>
      </w:r>
    </w:p>
    <w:p>
      <w:pPr>
        <w:spacing w:after="120" w:before="0"/>
        <w:ind w:left="720"/>
      </w:pPr>
      <w:r>
        <w:rPr>
          <w:rFonts w:ascii="Calibri" w:cs="Calibri" w:eastAsia="Calibri" w:hAnsi="Calibri"/>
          <w:b/>
          <w:bCs/>
          <w:i/>
          <w:iCs/>
          <w:color w:val="C00000"/>
          <w:sz w:val="20"/>
          <w:szCs w:val="20"/>
        </w:rPr>
        <w:t xml:space="preserve">Complement Era</w:t>
      </w:r>
    </w:p>
    <w:p>
      <w:pPr>
        <w:spacing w:after="60" w:before="60" w:line="276"/>
        <w:ind w:left="720" w:hanging="720"/>
      </w:pPr>
      <w:r>
        <w:rPr>
          <w:rFonts w:ascii="Calibri" w:cs="Calibri" w:eastAsia="Calibri" w:hAnsi="Calibri"/>
          <w:b/>
          <w:bCs/>
          <w:sz w:val="22"/>
          <w:szCs w:val="22"/>
        </w:rPr>
        <w:t xml:space="preserve">127.	</w:t>
      </w:r>
      <w:r>
        <w:rPr>
          <w:rFonts w:ascii="Calibri" w:cs="Calibri" w:eastAsia="Calibri" w:hAnsi="Calibri"/>
          <w:sz w:val="22"/>
          <w:szCs w:val="22"/>
        </w:rPr>
        <w:t xml:space="preserve">Barratt J, Rovin BH, Cattran D, Floege J, Lafayette R, Tesar V, Trimarchi H, Zhang H, Nester CM and Rizk DV (2023) Targeting complement in IgA nephropathy. Nature Reviews Nephrology, 19(4), pp.225–238. doi:10.1038/s41581-023-00641-z.</w:t>
      </w:r>
    </w:p>
    <w:p>
      <w:pPr>
        <w:spacing w:after="120" w:before="0"/>
        <w:ind w:left="720"/>
      </w:pPr>
      <w:r>
        <w:rPr>
          <w:rFonts w:ascii="Calibri" w:cs="Calibri" w:eastAsia="Calibri" w:hAnsi="Calibri"/>
          <w:b/>
          <w:bCs/>
          <w:i/>
          <w:iCs/>
          <w:color w:val="C00000"/>
          <w:sz w:val="20"/>
          <w:szCs w:val="20"/>
        </w:rPr>
        <w:t xml:space="preserve">Emerging Therapeutics</w:t>
      </w:r>
    </w:p>
    <w:p>
      <w:pPr>
        <w:pStyle w:val="Heading1"/>
        <w:pBdr>
          <w:bottom w:val="single" w:color="1F4E79" w:sz="8" w:space="4"/>
        </w:pBdr>
        <w:spacing w:after="180" w:before="360"/>
      </w:pPr>
      <w:r>
        <w:rPr>
          <w:rFonts w:ascii="Calibri" w:cs="Calibri" w:eastAsia="Calibri" w:hAnsi="Calibri"/>
          <w:b/>
          <w:bCs/>
          <w:color w:val="1F4E79"/>
          <w:sz w:val="28"/>
          <w:szCs w:val="28"/>
        </w:rPr>
        <w:t xml:space="preserve">SGLT2 MECHANISTIC &amp; CARDIORENAL EXPANSION</w:t>
      </w:r>
    </w:p>
    <w:p>
      <w:pPr>
        <w:spacing w:after="60" w:before="60" w:line="276"/>
        <w:ind w:left="720" w:hanging="720"/>
      </w:pPr>
      <w:r>
        <w:rPr>
          <w:rFonts w:ascii="Calibri" w:cs="Calibri" w:eastAsia="Calibri" w:hAnsi="Calibri"/>
          <w:b/>
          <w:bCs/>
          <w:sz w:val="22"/>
          <w:szCs w:val="22"/>
        </w:rPr>
        <w:t xml:space="preserve">128.	</w:t>
      </w:r>
      <w:r>
        <w:rPr>
          <w:rFonts w:ascii="Calibri" w:cs="Calibri" w:eastAsia="Calibri" w:hAnsi="Calibri"/>
          <w:sz w:val="22"/>
          <w:szCs w:val="22"/>
        </w:rPr>
        <w:t xml:space="preserve">Heerspink HJL, Stefansson BV, Correa-Rotter R, Chertow GM, Greene T, Hou FF, Mann JFE, McMurray JJV, Lindberg M, Rossing P et al. (2020) Dapagliflozin in patients with chronic kidney disease. New England Journal of Medicine, 383(15), pp.1436–1446. doi:10.1056/NEJMoa2024816.</w:t>
      </w:r>
    </w:p>
    <w:p>
      <w:pPr>
        <w:spacing w:after="120" w:before="0"/>
        <w:ind w:left="720"/>
      </w:pPr>
      <w:r>
        <w:rPr>
          <w:rFonts w:ascii="Calibri" w:cs="Calibri" w:eastAsia="Calibri" w:hAnsi="Calibri"/>
          <w:b/>
          <w:bCs/>
          <w:i/>
          <w:iCs/>
          <w:color w:val="C00000"/>
          <w:sz w:val="20"/>
          <w:szCs w:val="20"/>
        </w:rPr>
        <w:t xml:space="preserve">Landmark (DAPA-CKD)</w:t>
      </w:r>
    </w:p>
    <w:p>
      <w:pPr>
        <w:spacing w:after="60" w:before="60" w:line="276"/>
        <w:ind w:left="720" w:hanging="720"/>
      </w:pPr>
      <w:r>
        <w:rPr>
          <w:rFonts w:ascii="Calibri" w:cs="Calibri" w:eastAsia="Calibri" w:hAnsi="Calibri"/>
          <w:b/>
          <w:bCs/>
          <w:sz w:val="22"/>
          <w:szCs w:val="22"/>
        </w:rPr>
        <w:t xml:space="preserve">129.	</w:t>
      </w:r>
      <w:r>
        <w:rPr>
          <w:rFonts w:ascii="Calibri" w:cs="Calibri" w:eastAsia="Calibri" w:hAnsi="Calibri"/>
          <w:sz w:val="22"/>
          <w:szCs w:val="22"/>
        </w:rPr>
        <w:t xml:space="preserve">Herrington WG, Staplin N, Wanner C, Green JB, Hauske SJ, Emberson J, Preiss D, Judge P, Mayne K, Ng SYA et al. (2023) Empagliflozin in patients with chronic kidney disease. New England Journal of Medicine, 388(2), pp.117–127. doi:10.1056/NEJMoa2204233.</w:t>
      </w:r>
    </w:p>
    <w:p>
      <w:pPr>
        <w:spacing w:after="120" w:before="0"/>
        <w:ind w:left="720"/>
      </w:pPr>
      <w:r>
        <w:rPr>
          <w:rFonts w:ascii="Calibri" w:cs="Calibri" w:eastAsia="Calibri" w:hAnsi="Calibri"/>
          <w:b/>
          <w:bCs/>
          <w:i/>
          <w:iCs/>
          <w:color w:val="C00000"/>
          <w:sz w:val="20"/>
          <w:szCs w:val="20"/>
        </w:rPr>
        <w:t xml:space="preserve">Landmark (EMPA-KIDNEY)</w:t>
      </w:r>
    </w:p>
    <w:p>
      <w:pPr>
        <w:spacing w:after="60" w:before="60" w:line="276"/>
        <w:ind w:left="720" w:hanging="720"/>
      </w:pPr>
      <w:r>
        <w:rPr>
          <w:rFonts w:ascii="Calibri" w:cs="Calibri" w:eastAsia="Calibri" w:hAnsi="Calibri"/>
          <w:b/>
          <w:bCs/>
          <w:sz w:val="22"/>
          <w:szCs w:val="22"/>
        </w:rPr>
        <w:t xml:space="preserve">130.	</w:t>
      </w:r>
      <w:r>
        <w:rPr>
          <w:rFonts w:ascii="Calibri" w:cs="Calibri" w:eastAsia="Calibri" w:hAnsi="Calibri"/>
          <w:sz w:val="22"/>
          <w:szCs w:val="22"/>
        </w:rPr>
        <w:t xml:space="preserve">Perkovic V, Jardine MJ, Neal B, Bompoint S, Heerspink HJL, Charytan DM, Edwards R, Agarwal R, Bakris G, Bull S et al. (2019) Canagliflozin and renal outcomes in type 2 diabetes and nephropathy. New England Journal of Medicine, 380(24), pp.2295–2306. doi:10.1056/NEJMoa1811744.</w:t>
      </w:r>
    </w:p>
    <w:p>
      <w:pPr>
        <w:spacing w:after="120" w:before="0"/>
        <w:ind w:left="720"/>
      </w:pPr>
      <w:r>
        <w:rPr>
          <w:rFonts w:ascii="Calibri" w:cs="Calibri" w:eastAsia="Calibri" w:hAnsi="Calibri"/>
          <w:b/>
          <w:bCs/>
          <w:i/>
          <w:iCs/>
          <w:color w:val="C00000"/>
          <w:sz w:val="20"/>
          <w:szCs w:val="20"/>
        </w:rPr>
        <w:t xml:space="preserve">Landmark (CREDENCE)</w:t>
      </w:r>
    </w:p>
    <w:p>
      <w:pPr>
        <w:spacing w:after="60" w:before="60" w:line="276"/>
        <w:ind w:left="720" w:hanging="720"/>
      </w:pPr>
      <w:r>
        <w:rPr>
          <w:rFonts w:ascii="Calibri" w:cs="Calibri" w:eastAsia="Calibri" w:hAnsi="Calibri"/>
          <w:b/>
          <w:bCs/>
          <w:sz w:val="22"/>
          <w:szCs w:val="22"/>
        </w:rPr>
        <w:t xml:space="preserve">131.	</w:t>
      </w:r>
      <w:r>
        <w:rPr>
          <w:rFonts w:ascii="Calibri" w:cs="Calibri" w:eastAsia="Calibri" w:hAnsi="Calibri"/>
          <w:sz w:val="22"/>
          <w:szCs w:val="22"/>
        </w:rPr>
        <w:t xml:space="preserve">Zelniker TA, Wiviott SD, Raz I, Im K, Goodrich EL, Bonaca MP, Mosenzon O, Kato ET, Cahn A, Furtado RHM et al. (2019) SGLT2 inhibitors for primary and secondary prevention of cardiovascular and renal outcomes. Lancet, 393(10166), pp.31–39. doi:10.1016/S0140-6736(18)32590-X.</w:t>
      </w:r>
    </w:p>
    <w:p>
      <w:pPr>
        <w:spacing w:after="120" w:before="0"/>
        <w:ind w:left="720"/>
      </w:pPr>
      <w:r>
        <w:rPr>
          <w:rFonts w:ascii="Calibri" w:cs="Calibri" w:eastAsia="Calibri" w:hAnsi="Calibri"/>
          <w:b/>
          <w:bCs/>
          <w:i/>
          <w:iCs/>
          <w:color w:val="C00000"/>
          <w:sz w:val="20"/>
          <w:szCs w:val="20"/>
        </w:rPr>
        <w:t xml:space="preserve">Meta-Analytic Landmark</w:t>
      </w:r>
    </w:p>
    <w:p>
      <w:pPr>
        <w:pStyle w:val="Heading1"/>
        <w:pBdr>
          <w:bottom w:val="single" w:color="1F4E79" w:sz="8" w:space="4"/>
        </w:pBdr>
        <w:spacing w:after="180" w:before="360"/>
      </w:pPr>
      <w:r>
        <w:rPr>
          <w:rFonts w:ascii="Calibri" w:cs="Calibri" w:eastAsia="Calibri" w:hAnsi="Calibri"/>
          <w:b/>
          <w:bCs/>
          <w:color w:val="1F4E79"/>
          <w:sz w:val="28"/>
          <w:szCs w:val="28"/>
        </w:rPr>
        <w:t xml:space="preserve">CKD INFLAMMATION &amp; IMMUNOLOGY</w:t>
      </w:r>
    </w:p>
    <w:p>
      <w:pPr>
        <w:spacing w:after="60" w:before="60" w:line="276"/>
        <w:ind w:left="720" w:hanging="720"/>
      </w:pPr>
      <w:r>
        <w:rPr>
          <w:rFonts w:ascii="Calibri" w:cs="Calibri" w:eastAsia="Calibri" w:hAnsi="Calibri"/>
          <w:b/>
          <w:bCs/>
          <w:sz w:val="22"/>
          <w:szCs w:val="22"/>
        </w:rPr>
        <w:t xml:space="preserve">132.	</w:t>
      </w:r>
      <w:r>
        <w:rPr>
          <w:rFonts w:ascii="Calibri" w:cs="Calibri" w:eastAsia="Calibri" w:hAnsi="Calibri"/>
          <w:sz w:val="22"/>
          <w:szCs w:val="22"/>
        </w:rPr>
        <w:t xml:space="preserve">Stenvinkel P (2010) Inflammation in end-stage renal disease: the hidden enemy. Nephrology Dialysis Transplantation, 25(3), pp.723–728. doi:10.1093/ndt/gfp642.</w:t>
      </w:r>
    </w:p>
    <w:p>
      <w:pPr>
        <w:spacing w:after="120" w:before="0"/>
        <w:ind w:left="720"/>
      </w:pPr>
      <w:r>
        <w:rPr>
          <w:rFonts w:ascii="Calibri" w:cs="Calibri" w:eastAsia="Calibri" w:hAnsi="Calibri"/>
          <w:b/>
          <w:bCs/>
          <w:i/>
          <w:iCs/>
          <w:color w:val="C00000"/>
          <w:sz w:val="20"/>
          <w:szCs w:val="20"/>
        </w:rPr>
        <w:t xml:space="preserve">Foundational</w:t>
      </w:r>
    </w:p>
    <w:p>
      <w:pPr>
        <w:spacing w:after="60" w:before="60" w:line="276"/>
        <w:ind w:left="720" w:hanging="720"/>
      </w:pPr>
      <w:r>
        <w:rPr>
          <w:rFonts w:ascii="Calibri" w:cs="Calibri" w:eastAsia="Calibri" w:hAnsi="Calibri"/>
          <w:b/>
          <w:bCs/>
          <w:sz w:val="22"/>
          <w:szCs w:val="22"/>
        </w:rPr>
        <w:t xml:space="preserve">133.	</w:t>
      </w:r>
      <w:r>
        <w:rPr>
          <w:rFonts w:ascii="Calibri" w:cs="Calibri" w:eastAsia="Calibri" w:hAnsi="Calibri"/>
          <w:sz w:val="22"/>
          <w:szCs w:val="22"/>
        </w:rPr>
        <w:t xml:space="preserve">Anders HJ and Schaefer L (2014) Beyond tissue injury—damage-associated molecular patterns and inflammation in kidney disease. Nature Reviews Nephrology, 10(7), pp.397–409. doi:10.1038/nrneph.2014.90.</w:t>
      </w:r>
    </w:p>
    <w:p>
      <w:pPr>
        <w:spacing w:after="120" w:before="0"/>
        <w:ind w:left="720"/>
      </w:pPr>
      <w:r>
        <w:rPr>
          <w:rFonts w:ascii="Calibri" w:cs="Calibri" w:eastAsia="Calibri" w:hAnsi="Calibri"/>
          <w:b/>
          <w:bCs/>
          <w:i/>
          <w:iCs/>
          <w:color w:val="C00000"/>
          <w:sz w:val="20"/>
          <w:szCs w:val="20"/>
        </w:rPr>
        <w:t xml:space="preserve">Mechanistic Classic</w:t>
      </w:r>
    </w:p>
    <w:p>
      <w:pPr>
        <w:pStyle w:val="Heading1"/>
        <w:pBdr>
          <w:bottom w:val="single" w:color="1F4E79" w:sz="8" w:space="4"/>
        </w:pBdr>
        <w:spacing w:after="180" w:before="360"/>
      </w:pPr>
      <w:r>
        <w:rPr>
          <w:rFonts w:ascii="Calibri" w:cs="Calibri" w:eastAsia="Calibri" w:hAnsi="Calibri"/>
          <w:b/>
          <w:bCs/>
          <w:color w:val="1F4E79"/>
          <w:sz w:val="28"/>
          <w:szCs w:val="28"/>
        </w:rPr>
        <w:t xml:space="preserve">DIALYSIS QUALITY &amp; INCREMENTAL THERAPY</w:t>
      </w:r>
    </w:p>
    <w:p>
      <w:pPr>
        <w:spacing w:after="60" w:before="60" w:line="276"/>
        <w:ind w:left="720" w:hanging="720"/>
      </w:pPr>
      <w:r>
        <w:rPr>
          <w:rFonts w:ascii="Calibri" w:cs="Calibri" w:eastAsia="Calibri" w:hAnsi="Calibri"/>
          <w:b/>
          <w:bCs/>
          <w:sz w:val="22"/>
          <w:szCs w:val="22"/>
        </w:rPr>
        <w:t xml:space="preserve">134.	</w:t>
      </w:r>
      <w:r>
        <w:rPr>
          <w:rFonts w:ascii="Calibri" w:cs="Calibri" w:eastAsia="Calibri" w:hAnsi="Calibri"/>
          <w:sz w:val="22"/>
          <w:szCs w:val="22"/>
        </w:rPr>
        <w:t xml:space="preserve">Obi Y, Rhee CM, Mathew AT, Shah G, Streja E, Brunelli SM, Kovesdy CP and Kalantar-Zadeh K (2016) Residual kidney function decline and mortality in incident hemodialysis patients. Journal of the American Society of Nephrology, 27(12), pp.3758–3768. doi:10.1681/ASN.2015111219.</w:t>
      </w:r>
    </w:p>
    <w:p>
      <w:pPr>
        <w:spacing w:after="120" w:before="0"/>
        <w:ind w:left="720"/>
      </w:pPr>
      <w:r>
        <w:rPr>
          <w:rFonts w:ascii="Calibri" w:cs="Calibri" w:eastAsia="Calibri" w:hAnsi="Calibri"/>
          <w:b/>
          <w:bCs/>
          <w:i/>
          <w:iCs/>
          <w:color w:val="C00000"/>
          <w:sz w:val="20"/>
          <w:szCs w:val="20"/>
        </w:rPr>
        <w:t xml:space="preserve">Incremental Dialysis</w:t>
      </w:r>
    </w:p>
    <w:p>
      <w:pPr>
        <w:spacing w:after="60" w:before="60" w:line="276"/>
        <w:ind w:left="720" w:hanging="720"/>
      </w:pPr>
      <w:r>
        <w:rPr>
          <w:rFonts w:ascii="Calibri" w:cs="Calibri" w:eastAsia="Calibri" w:hAnsi="Calibri"/>
          <w:b/>
          <w:bCs/>
          <w:sz w:val="22"/>
          <w:szCs w:val="22"/>
        </w:rPr>
        <w:t xml:space="preserve">135.	</w:t>
      </w:r>
      <w:r>
        <w:rPr>
          <w:rFonts w:ascii="Calibri" w:cs="Calibri" w:eastAsia="Calibri" w:hAnsi="Calibri"/>
          <w:sz w:val="22"/>
          <w:szCs w:val="22"/>
        </w:rPr>
        <w:t xml:space="preserve">Kalantar-Zadeh K, Casino FG and Letizia M (2014) Incremental hemodialysis. Seminars in Dialysis, 27(6), pp.589–593. doi:10.1111/sdi.12271.</w:t>
      </w:r>
    </w:p>
    <w:p>
      <w:pPr>
        <w:spacing w:after="120" w:before="0"/>
        <w:ind w:left="720"/>
      </w:pPr>
      <w:r>
        <w:rPr>
          <w:rFonts w:ascii="Calibri" w:cs="Calibri" w:eastAsia="Calibri" w:hAnsi="Calibri"/>
          <w:b/>
          <w:bCs/>
          <w:i/>
          <w:iCs/>
          <w:color w:val="C00000"/>
          <w:sz w:val="20"/>
          <w:szCs w:val="20"/>
        </w:rPr>
        <w:t xml:space="preserve">Conceptual Shift</w:t>
      </w:r>
    </w:p>
    <w:p>
      <w:pPr>
        <w:pStyle w:val="Heading1"/>
        <w:pBdr>
          <w:bottom w:val="single" w:color="1F4E79" w:sz="8" w:space="4"/>
        </w:pBdr>
        <w:spacing w:after="180" w:before="360"/>
      </w:pPr>
      <w:r>
        <w:rPr>
          <w:rFonts w:ascii="Calibri" w:cs="Calibri" w:eastAsia="Calibri" w:hAnsi="Calibri"/>
          <w:b/>
          <w:bCs/>
          <w:color w:val="1F4E79"/>
          <w:sz w:val="28"/>
          <w:szCs w:val="28"/>
        </w:rPr>
        <w:t xml:space="preserve">KIDNEY AGING</w:t>
      </w:r>
    </w:p>
    <w:p>
      <w:pPr>
        <w:spacing w:after="60" w:before="60" w:line="276"/>
        <w:ind w:left="720" w:hanging="720"/>
      </w:pPr>
      <w:r>
        <w:rPr>
          <w:rFonts w:ascii="Calibri" w:cs="Calibri" w:eastAsia="Calibri" w:hAnsi="Calibri"/>
          <w:b/>
          <w:bCs/>
          <w:sz w:val="22"/>
          <w:szCs w:val="22"/>
        </w:rPr>
        <w:t xml:space="preserve">136.	</w:t>
      </w:r>
      <w:r>
        <w:rPr>
          <w:rFonts w:ascii="Calibri" w:cs="Calibri" w:eastAsia="Calibri" w:hAnsi="Calibri"/>
          <w:sz w:val="22"/>
          <w:szCs w:val="22"/>
        </w:rPr>
        <w:t xml:space="preserve">O'Sullivan ED, Hughes J and Ferenbach DA (2017) Renal aging: causes and consequences. Journal of the American Society of Nephrology, 28(2), pp.407–420. doi:10.1681/ASN.2015121308.</w:t>
      </w:r>
    </w:p>
    <w:p>
      <w:pPr>
        <w:spacing w:after="120" w:before="0"/>
        <w:ind w:left="720"/>
      </w:pPr>
      <w:r>
        <w:rPr>
          <w:rFonts w:ascii="Calibri" w:cs="Calibri" w:eastAsia="Calibri" w:hAnsi="Calibri"/>
          <w:b/>
          <w:bCs/>
          <w:i/>
          <w:iCs/>
          <w:color w:val="C00000"/>
          <w:sz w:val="20"/>
          <w:szCs w:val="20"/>
        </w:rPr>
        <w:t xml:space="preserve">Foundational</w:t>
      </w:r>
    </w:p>
    <w:p>
      <w:pPr>
        <w:spacing w:after="60" w:before="60" w:line="276"/>
        <w:ind w:left="720" w:hanging="720"/>
      </w:pPr>
      <w:r>
        <w:rPr>
          <w:rFonts w:ascii="Calibri" w:cs="Calibri" w:eastAsia="Calibri" w:hAnsi="Calibri"/>
          <w:b/>
          <w:bCs/>
          <w:sz w:val="22"/>
          <w:szCs w:val="22"/>
        </w:rPr>
        <w:t xml:space="preserve">137.	</w:t>
      </w:r>
      <w:r>
        <w:rPr>
          <w:rFonts w:ascii="Calibri" w:cs="Calibri" w:eastAsia="Calibri" w:hAnsi="Calibri"/>
          <w:sz w:val="22"/>
          <w:szCs w:val="22"/>
        </w:rPr>
        <w:t xml:space="preserve">Denic A, Lieske JC, Chakkera HA, Poggio ED, Alexander MP, Singh P, Kremers WK, Lerman LO and Rule AD (2017) The substantial loss of nephrons in healthy human kidneys with aging. Journal of the American Society of Nephrology, 28(1), pp.313–320. doi:10.1681/ASN.2016020154.</w:t>
      </w:r>
    </w:p>
    <w:p>
      <w:pPr>
        <w:spacing w:after="120" w:before="0"/>
        <w:ind w:left="720"/>
      </w:pPr>
      <w:r>
        <w:rPr>
          <w:rFonts w:ascii="Calibri" w:cs="Calibri" w:eastAsia="Calibri" w:hAnsi="Calibri"/>
          <w:b/>
          <w:bCs/>
          <w:i/>
          <w:iCs/>
          <w:color w:val="C00000"/>
          <w:sz w:val="20"/>
          <w:szCs w:val="20"/>
        </w:rPr>
        <w:t xml:space="preserve">Anatomic Landmark</w:t>
      </w:r>
    </w:p>
    <w:p>
      <w:pPr>
        <w:pStyle w:val="Heading1"/>
        <w:pBdr>
          <w:bottom w:val="single" w:color="1F4E79" w:sz="8" w:space="4"/>
        </w:pBdr>
        <w:spacing w:after="180" w:before="360"/>
      </w:pPr>
      <w:r>
        <w:rPr>
          <w:rFonts w:ascii="Calibri" w:cs="Calibri" w:eastAsia="Calibri" w:hAnsi="Calibri"/>
          <w:b/>
          <w:bCs/>
          <w:color w:val="1F4E79"/>
          <w:sz w:val="28"/>
          <w:szCs w:val="28"/>
        </w:rPr>
        <w:t xml:space="preserve">TRANSPLANT BIOMARKERS &amp; PRECISION</w:t>
      </w:r>
    </w:p>
    <w:p>
      <w:pPr>
        <w:spacing w:after="60" w:before="60" w:line="276"/>
        <w:ind w:left="720" w:hanging="720"/>
      </w:pPr>
      <w:r>
        <w:rPr>
          <w:rFonts w:ascii="Calibri" w:cs="Calibri" w:eastAsia="Calibri" w:hAnsi="Calibri"/>
          <w:b/>
          <w:bCs/>
          <w:sz w:val="22"/>
          <w:szCs w:val="22"/>
        </w:rPr>
        <w:t xml:space="preserve">138.	</w:t>
      </w:r>
      <w:r>
        <w:rPr>
          <w:rFonts w:ascii="Calibri" w:cs="Calibri" w:eastAsia="Calibri" w:hAnsi="Calibri"/>
          <w:sz w:val="22"/>
          <w:szCs w:val="22"/>
        </w:rPr>
        <w:t xml:space="preserve">Loupy A, Haas M, Roufosse C, Naesens M, Adam B, Afrouzian M, Akalin E, Alachkar N, Bagnasco S, Becker JU et al. (2017) The Banff 2015 Kidney Meeting Report. American Journal of Transplantation, 17(1), pp.28–41. doi:10.1111/ajt.14107.</w:t>
      </w:r>
    </w:p>
    <w:p>
      <w:pPr>
        <w:spacing w:after="120" w:before="0"/>
        <w:ind w:left="720"/>
      </w:pPr>
      <w:r>
        <w:rPr>
          <w:rFonts w:ascii="Calibri" w:cs="Calibri" w:eastAsia="Calibri" w:hAnsi="Calibri"/>
          <w:b/>
          <w:bCs/>
          <w:i/>
          <w:iCs/>
          <w:color w:val="C00000"/>
          <w:sz w:val="20"/>
          <w:szCs w:val="20"/>
        </w:rPr>
        <w:t xml:space="preserve">Classification Landmark</w:t>
      </w:r>
    </w:p>
    <w:p>
      <w:pPr>
        <w:spacing w:after="60" w:before="60" w:line="276"/>
        <w:ind w:left="720" w:hanging="720"/>
      </w:pPr>
      <w:r>
        <w:rPr>
          <w:rFonts w:ascii="Calibri" w:cs="Calibri" w:eastAsia="Calibri" w:hAnsi="Calibri"/>
          <w:b/>
          <w:bCs/>
          <w:sz w:val="22"/>
          <w:szCs w:val="22"/>
        </w:rPr>
        <w:t xml:space="preserve">139.	</w:t>
      </w:r>
      <w:r>
        <w:rPr>
          <w:rFonts w:ascii="Calibri" w:cs="Calibri" w:eastAsia="Calibri" w:hAnsi="Calibri"/>
          <w:sz w:val="22"/>
          <w:szCs w:val="22"/>
        </w:rPr>
        <w:t xml:space="preserve">Halloran PF, Reeve J, Akalin E, Aubert O, Böhmig GA, Brennan DC, Bromberg J, Einecke G, Eskandary F, Gosset C et al. (2019) Real-time central assessment of kidney transplant indication biopsies by microarrays. New England Journal of Medicine, 381(24), pp.2335–2346. doi:10.1056/NEJMoa1814213.</w:t>
      </w:r>
    </w:p>
    <w:p>
      <w:pPr>
        <w:spacing w:after="120" w:before="0"/>
        <w:ind w:left="720"/>
      </w:pPr>
      <w:r>
        <w:rPr>
          <w:rFonts w:ascii="Calibri" w:cs="Calibri" w:eastAsia="Calibri" w:hAnsi="Calibri"/>
          <w:b/>
          <w:bCs/>
          <w:i/>
          <w:iCs/>
          <w:color w:val="C00000"/>
          <w:sz w:val="20"/>
          <w:szCs w:val="20"/>
        </w:rPr>
        <w:t xml:space="preserve">Molecular Diagnostics</w:t>
      </w:r>
    </w:p>
    <w:p>
      <w:pPr>
        <w:pStyle w:val="Heading1"/>
        <w:pBdr>
          <w:bottom w:val="single" w:color="1F4E79" w:sz="8" w:space="4"/>
        </w:pBdr>
        <w:spacing w:after="180" w:before="360"/>
      </w:pPr>
      <w:r>
        <w:rPr>
          <w:rFonts w:ascii="Calibri" w:cs="Calibri" w:eastAsia="Calibri" w:hAnsi="Calibri"/>
          <w:b/>
          <w:bCs/>
          <w:color w:val="1F4E79"/>
          <w:sz w:val="28"/>
          <w:szCs w:val="28"/>
        </w:rPr>
        <w:t xml:space="preserve">ACID–BASE &amp; POTASSIUM ERA</w:t>
      </w:r>
    </w:p>
    <w:p>
      <w:pPr>
        <w:spacing w:after="60" w:before="60" w:line="276"/>
        <w:ind w:left="720" w:hanging="720"/>
      </w:pPr>
      <w:r>
        <w:rPr>
          <w:rFonts w:ascii="Calibri" w:cs="Calibri" w:eastAsia="Calibri" w:hAnsi="Calibri"/>
          <w:b/>
          <w:bCs/>
          <w:sz w:val="22"/>
          <w:szCs w:val="22"/>
        </w:rPr>
        <w:t xml:space="preserve">140.	</w:t>
      </w:r>
      <w:r>
        <w:rPr>
          <w:rFonts w:ascii="Calibri" w:cs="Calibri" w:eastAsia="Calibri" w:hAnsi="Calibri"/>
          <w:sz w:val="22"/>
          <w:szCs w:val="22"/>
        </w:rPr>
        <w:t xml:space="preserve">Kraut JA and Madias NE (2018) Metabolic acidosis of CKD: an update. Clinical Journal of the American Society of Nephrology, 13(2), pp.307–317. doi:10.2215/CJN.01770217.</w:t>
      </w:r>
    </w:p>
    <w:p>
      <w:pPr>
        <w:spacing w:after="120" w:before="0"/>
        <w:ind w:left="720"/>
      </w:pPr>
      <w:r>
        <w:rPr>
          <w:rFonts w:ascii="Calibri" w:cs="Calibri" w:eastAsia="Calibri" w:hAnsi="Calibri"/>
          <w:b/>
          <w:bCs/>
          <w:i/>
          <w:iCs/>
          <w:color w:val="C00000"/>
          <w:sz w:val="20"/>
          <w:szCs w:val="20"/>
        </w:rPr>
        <w:t xml:space="preserve">Updated Foundational</w:t>
      </w:r>
    </w:p>
    <w:p>
      <w:pPr>
        <w:spacing w:after="60" w:before="60" w:line="276"/>
        <w:ind w:left="720" w:hanging="720"/>
      </w:pPr>
      <w:r>
        <w:rPr>
          <w:rFonts w:ascii="Calibri" w:cs="Calibri" w:eastAsia="Calibri" w:hAnsi="Calibri"/>
          <w:b/>
          <w:bCs/>
          <w:sz w:val="22"/>
          <w:szCs w:val="22"/>
        </w:rPr>
        <w:t xml:space="preserve">141.	</w:t>
      </w:r>
      <w:r>
        <w:rPr>
          <w:rFonts w:ascii="Calibri" w:cs="Calibri" w:eastAsia="Calibri" w:hAnsi="Calibri"/>
          <w:sz w:val="22"/>
          <w:szCs w:val="22"/>
        </w:rPr>
        <w:t xml:space="preserve">Palmer BF and Clegg DJ (2016) Diagnosis and treatment of hyperkalemia. New England Journal of Medicine, 374(14), pp.1349–1358. doi:10.1056/NEJMra1504969.</w:t>
      </w:r>
    </w:p>
    <w:p>
      <w:pPr>
        <w:spacing w:after="120" w:before="0"/>
        <w:ind w:left="720"/>
      </w:pPr>
      <w:r>
        <w:rPr>
          <w:rFonts w:ascii="Calibri" w:cs="Calibri" w:eastAsia="Calibri" w:hAnsi="Calibri"/>
          <w:b/>
          <w:bCs/>
          <w:i/>
          <w:iCs/>
          <w:color w:val="C00000"/>
          <w:sz w:val="20"/>
          <w:szCs w:val="20"/>
        </w:rPr>
        <w:t xml:space="preserve">Practice Classic</w:t>
      </w:r>
    </w:p>
    <w:p>
      <w:pPr>
        <w:pStyle w:val="Heading1"/>
        <w:pBdr>
          <w:bottom w:val="single" w:color="1F4E79" w:sz="8" w:space="4"/>
        </w:pBdr>
        <w:spacing w:after="180" w:before="360"/>
      </w:pPr>
      <w:r>
        <w:rPr>
          <w:rFonts w:ascii="Calibri" w:cs="Calibri" w:eastAsia="Calibri" w:hAnsi="Calibri"/>
          <w:b/>
          <w:bCs/>
          <w:color w:val="1F4E79"/>
          <w:sz w:val="28"/>
          <w:szCs w:val="28"/>
        </w:rPr>
        <w:t xml:space="preserve">KIDNEY–LUNG CROSS-TALK</w:t>
      </w:r>
    </w:p>
    <w:p>
      <w:pPr>
        <w:spacing w:after="60" w:before="60" w:line="276"/>
        <w:ind w:left="720" w:hanging="720"/>
      </w:pPr>
      <w:r>
        <w:rPr>
          <w:rFonts w:ascii="Calibri" w:cs="Calibri" w:eastAsia="Calibri" w:hAnsi="Calibri"/>
          <w:b/>
          <w:bCs/>
          <w:sz w:val="22"/>
          <w:szCs w:val="22"/>
        </w:rPr>
        <w:t xml:space="preserve">142.	</w:t>
      </w:r>
      <w:r>
        <w:rPr>
          <w:rFonts w:ascii="Calibri" w:cs="Calibri" w:eastAsia="Calibri" w:hAnsi="Calibri"/>
          <w:sz w:val="22"/>
          <w:szCs w:val="22"/>
        </w:rPr>
        <w:t xml:space="preserve">Husain-Syed F, Slutsky AS and Ronco C (2016) Lung–kidney cross-talk in the critically ill patient. American Journal of Respiratory and Critical Care Medicine, 194(4), pp.402–414. doi:10.1164/rccm.201602-0370CP.</w:t>
      </w:r>
    </w:p>
    <w:p>
      <w:pPr>
        <w:spacing w:after="120" w:before="0"/>
        <w:ind w:left="720"/>
      </w:pPr>
      <w:r>
        <w:rPr>
          <w:rFonts w:ascii="Calibri" w:cs="Calibri" w:eastAsia="Calibri" w:hAnsi="Calibri"/>
          <w:b/>
          <w:bCs/>
          <w:i/>
          <w:iCs/>
          <w:color w:val="C00000"/>
          <w:sz w:val="20"/>
          <w:szCs w:val="20"/>
        </w:rPr>
        <w:t xml:space="preserve">ICU Mechanistic</w:t>
      </w:r>
    </w:p>
    <w:p>
      <w:pPr>
        <w:pStyle w:val="Heading1"/>
        <w:pBdr>
          <w:bottom w:val="single" w:color="1F4E79" w:sz="8" w:space="4"/>
        </w:pBdr>
        <w:spacing w:after="180" w:before="360"/>
      </w:pPr>
      <w:r>
        <w:rPr>
          <w:rFonts w:ascii="Calibri" w:cs="Calibri" w:eastAsia="Calibri" w:hAnsi="Calibri"/>
          <w:b/>
          <w:bCs/>
          <w:color w:val="1F4E79"/>
          <w:sz w:val="28"/>
          <w:szCs w:val="28"/>
        </w:rPr>
        <w:t xml:space="preserve">GENE EDITING &amp; FUTURE THERAPIES</w:t>
      </w:r>
    </w:p>
    <w:p>
      <w:pPr>
        <w:spacing w:after="60" w:before="60" w:line="276"/>
        <w:ind w:left="720" w:hanging="720"/>
      </w:pPr>
      <w:r>
        <w:rPr>
          <w:rFonts w:ascii="Calibri" w:cs="Calibri" w:eastAsia="Calibri" w:hAnsi="Calibri"/>
          <w:b/>
          <w:bCs/>
          <w:sz w:val="22"/>
          <w:szCs w:val="22"/>
        </w:rPr>
        <w:t xml:space="preserve">143.	</w:t>
      </w:r>
      <w:r>
        <w:rPr>
          <w:rFonts w:ascii="Calibri" w:cs="Calibri" w:eastAsia="Calibri" w:hAnsi="Calibri"/>
          <w:sz w:val="22"/>
          <w:szCs w:val="22"/>
        </w:rPr>
        <w:t xml:space="preserve">Cheng AS, Li LX, Zhou JX, Harris PC, Calvet JP and Li X (2025) In vivo base editing rescues ADPKD in a humanized mouse model. Nature Communications, 16, Article 65997. doi:10.1038/s41467-025-65997-1.</w:t>
      </w:r>
    </w:p>
    <w:p>
      <w:pPr>
        <w:spacing w:after="120" w:before="0"/>
        <w:ind w:left="720"/>
      </w:pPr>
      <w:r>
        <w:rPr>
          <w:rFonts w:ascii="Calibri" w:cs="Calibri" w:eastAsia="Calibri" w:hAnsi="Calibri"/>
          <w:b/>
          <w:bCs/>
          <w:i/>
          <w:iCs/>
          <w:color w:val="C00000"/>
          <w:sz w:val="20"/>
          <w:szCs w:val="20"/>
        </w:rPr>
        <w:t xml:space="preserve">Gene Editing Era</w:t>
      </w:r>
    </w:p>
    <w:p>
      <w:pPr>
        <w:spacing w:after="60" w:before="60" w:line="276"/>
        <w:ind w:left="720" w:hanging="720"/>
      </w:pPr>
      <w:r>
        <w:rPr>
          <w:rFonts w:ascii="Calibri" w:cs="Calibri" w:eastAsia="Calibri" w:hAnsi="Calibri"/>
          <w:b/>
          <w:bCs/>
          <w:sz w:val="22"/>
          <w:szCs w:val="22"/>
        </w:rPr>
        <w:t xml:space="preserve">144.	</w:t>
      </w:r>
      <w:r>
        <w:rPr>
          <w:rFonts w:ascii="Calibri" w:cs="Calibri" w:eastAsia="Calibri" w:hAnsi="Calibri"/>
          <w:sz w:val="22"/>
          <w:szCs w:val="22"/>
        </w:rPr>
        <w:t xml:space="preserve">Muto Y, Yoshimura Y, Wu H, Chang-Panesso M, Ledru N and Woodward OM (2024) Multiomics profiling of mouse polycystic kidney disease progression at single-cell resolution. Proceedings of the National Academy of Sciences USA, 121(41), e2410830121. doi:10.1073/pnas.2410830121.</w:t>
      </w:r>
    </w:p>
    <w:p>
      <w:pPr>
        <w:spacing w:after="120" w:before="0"/>
        <w:ind w:left="720"/>
      </w:pPr>
      <w:r>
        <w:rPr>
          <w:rFonts w:ascii="Calibri" w:cs="Calibri" w:eastAsia="Calibri" w:hAnsi="Calibri"/>
          <w:b/>
          <w:bCs/>
          <w:i/>
          <w:iCs/>
          <w:color w:val="C00000"/>
          <w:sz w:val="20"/>
          <w:szCs w:val="20"/>
        </w:rPr>
        <w:t xml:space="preserve">Multiomic Precision</w:t>
      </w:r>
    </w:p>
    <w:p>
      <w:pPr>
        <w:pStyle w:val="Heading1"/>
        <w:pBdr>
          <w:bottom w:val="single" w:color="1F4E79" w:sz="8" w:space="4"/>
        </w:pBdr>
        <w:spacing w:after="180" w:before="360"/>
      </w:pPr>
      <w:r>
        <w:rPr>
          <w:rFonts w:ascii="Calibri" w:cs="Calibri" w:eastAsia="Calibri" w:hAnsi="Calibri"/>
          <w:b/>
          <w:bCs/>
          <w:color w:val="1F4E79"/>
          <w:sz w:val="28"/>
          <w:szCs w:val="28"/>
        </w:rPr>
        <w:t xml:space="preserve">CKD–MBD EXPANSION</w:t>
      </w:r>
    </w:p>
    <w:p>
      <w:pPr>
        <w:spacing w:after="60" w:before="60" w:line="276"/>
        <w:ind w:left="720" w:hanging="720"/>
      </w:pPr>
      <w:r>
        <w:rPr>
          <w:rFonts w:ascii="Calibri" w:cs="Calibri" w:eastAsia="Calibri" w:hAnsi="Calibri"/>
          <w:b/>
          <w:bCs/>
          <w:sz w:val="22"/>
          <w:szCs w:val="22"/>
        </w:rPr>
        <w:t xml:space="preserve">145.	</w:t>
      </w:r>
      <w:r>
        <w:rPr>
          <w:rFonts w:ascii="Calibri" w:cs="Calibri" w:eastAsia="Calibri" w:hAnsi="Calibri"/>
          <w:sz w:val="22"/>
          <w:szCs w:val="22"/>
        </w:rPr>
        <w:t xml:space="preserve">Isakova T, Wahl P, Vargas GS, Gutiérrez OM, Scialla J, Xie H, Appleby D, Nessel L, Bellovich K, Chen J et al. (2011) Fibroblast growth factor 23 is elevated before parathyroid hormone and phosphate in CKD. Journal of the American Society of Nephrology, 22(2), pp.362–368. doi:10.1681/ASN.2010050463.</w:t>
      </w:r>
    </w:p>
    <w:p>
      <w:pPr>
        <w:spacing w:after="120" w:before="0"/>
        <w:ind w:left="720"/>
      </w:pPr>
      <w:r>
        <w:rPr>
          <w:rFonts w:ascii="Calibri" w:cs="Calibri" w:eastAsia="Calibri" w:hAnsi="Calibri"/>
          <w:b/>
          <w:bCs/>
          <w:i/>
          <w:iCs/>
          <w:color w:val="C00000"/>
          <w:sz w:val="20"/>
          <w:szCs w:val="20"/>
        </w:rPr>
        <w:t xml:space="preserve">FGF23 Landmark</w:t>
      </w:r>
    </w:p>
    <w:p>
      <w:pPr>
        <w:spacing w:after="60" w:before="60" w:line="276"/>
        <w:ind w:left="720" w:hanging="720"/>
      </w:pPr>
      <w:r>
        <w:rPr>
          <w:rFonts w:ascii="Calibri" w:cs="Calibri" w:eastAsia="Calibri" w:hAnsi="Calibri"/>
          <w:b/>
          <w:bCs/>
          <w:sz w:val="22"/>
          <w:szCs w:val="22"/>
        </w:rPr>
        <w:t xml:space="preserve">146.	</w:t>
      </w:r>
      <w:r>
        <w:rPr>
          <w:rFonts w:ascii="Calibri" w:cs="Calibri" w:eastAsia="Calibri" w:hAnsi="Calibri"/>
          <w:sz w:val="22"/>
          <w:szCs w:val="22"/>
        </w:rPr>
        <w:t xml:space="preserve">Block GA, Martin KJ, de Francisco ALM, Turner SA, Avram MM, Suranyi MG, Hercz G, Cunningham J, Abu-Alfa AK, Messa P et al. (2004) Cinacalcet for secondary hyperparathyroidism in patients receiving hemodialysis. New England Journal of Medicine, 350(15), pp.1516–1525. doi:10.1056/NEJMoa031633.</w:t>
      </w:r>
    </w:p>
    <w:p>
      <w:pPr>
        <w:spacing w:after="120" w:before="0"/>
        <w:ind w:left="720"/>
      </w:pPr>
      <w:r>
        <w:rPr>
          <w:rFonts w:ascii="Calibri" w:cs="Calibri" w:eastAsia="Calibri" w:hAnsi="Calibri"/>
          <w:b/>
          <w:bCs/>
          <w:i/>
          <w:iCs/>
          <w:color w:val="C00000"/>
          <w:sz w:val="20"/>
          <w:szCs w:val="20"/>
        </w:rPr>
        <w:t xml:space="preserve">Practice-Changing</w:t>
      </w:r>
    </w:p>
    <w:p>
      <w:pPr>
        <w:pStyle w:val="Heading1"/>
        <w:pBdr>
          <w:bottom w:val="single" w:color="1F4E79" w:sz="8" w:space="4"/>
        </w:pBdr>
        <w:spacing w:after="180" w:before="360"/>
      </w:pPr>
      <w:r>
        <w:rPr>
          <w:rFonts w:ascii="Calibri" w:cs="Calibri" w:eastAsia="Calibri" w:hAnsi="Calibri"/>
          <w:b/>
          <w:bCs/>
          <w:color w:val="1F4E79"/>
          <w:sz w:val="28"/>
          <w:szCs w:val="28"/>
        </w:rPr>
        <w:t xml:space="preserve">CKD RISK STRATIFICATION &amp; PREDICTION</w:t>
      </w:r>
    </w:p>
    <w:p>
      <w:pPr>
        <w:spacing w:after="60" w:before="60" w:line="276"/>
        <w:ind w:left="720" w:hanging="720"/>
      </w:pPr>
      <w:r>
        <w:rPr>
          <w:rFonts w:ascii="Calibri" w:cs="Calibri" w:eastAsia="Calibri" w:hAnsi="Calibri"/>
          <w:b/>
          <w:bCs/>
          <w:sz w:val="22"/>
          <w:szCs w:val="22"/>
        </w:rPr>
        <w:t xml:space="preserve">147.	</w:t>
      </w:r>
      <w:r>
        <w:rPr>
          <w:rFonts w:ascii="Calibri" w:cs="Calibri" w:eastAsia="Calibri" w:hAnsi="Calibri"/>
          <w:sz w:val="22"/>
          <w:szCs w:val="22"/>
        </w:rPr>
        <w:t xml:space="preserve">Tangri N, Stevens LA, Griffith J, Tighiouart H, Djurdjev O, Naimark D, Levin A and Levey AS (2011) A predictive model for progression of CKD to kidney failure. JAMA, 305(15), pp.1553–1559. doi:10.1001/jama.2011.451.</w:t>
      </w:r>
    </w:p>
    <w:p>
      <w:pPr>
        <w:spacing w:after="120" w:before="0"/>
        <w:ind w:left="720"/>
      </w:pPr>
      <w:r>
        <w:rPr>
          <w:rFonts w:ascii="Calibri" w:cs="Calibri" w:eastAsia="Calibri" w:hAnsi="Calibri"/>
          <w:b/>
          <w:bCs/>
          <w:i/>
          <w:iCs/>
          <w:color w:val="C00000"/>
          <w:sz w:val="20"/>
          <w:szCs w:val="20"/>
        </w:rPr>
        <w:t xml:space="preserve">KFRE Landmark</w:t>
      </w:r>
    </w:p>
    <w:p>
      <w:pPr>
        <w:pStyle w:val="Heading1"/>
        <w:pBdr>
          <w:bottom w:val="single" w:color="1F4E79" w:sz="8" w:space="4"/>
        </w:pBdr>
        <w:spacing w:after="180" w:before="360"/>
      </w:pPr>
      <w:r>
        <w:rPr>
          <w:rFonts w:ascii="Calibri" w:cs="Calibri" w:eastAsia="Calibri" w:hAnsi="Calibri"/>
          <w:b/>
          <w:bCs/>
          <w:color w:val="1F4E79"/>
          <w:sz w:val="28"/>
          <w:szCs w:val="28"/>
        </w:rPr>
        <w:t xml:space="preserve">CONSERVATIVE KIDNEY MANAGEMENT</w:t>
      </w:r>
    </w:p>
    <w:p>
      <w:pPr>
        <w:spacing w:after="60" w:before="60" w:line="276"/>
        <w:ind w:left="720" w:hanging="720"/>
      </w:pPr>
      <w:r>
        <w:rPr>
          <w:rFonts w:ascii="Calibri" w:cs="Calibri" w:eastAsia="Calibri" w:hAnsi="Calibri"/>
          <w:b/>
          <w:bCs/>
          <w:sz w:val="22"/>
          <w:szCs w:val="22"/>
        </w:rPr>
        <w:t xml:space="preserve">148.	</w:t>
      </w:r>
      <w:r>
        <w:rPr>
          <w:rFonts w:ascii="Calibri" w:cs="Calibri" w:eastAsia="Calibri" w:hAnsi="Calibri"/>
          <w:sz w:val="22"/>
          <w:szCs w:val="22"/>
        </w:rPr>
        <w:t xml:space="preserve">Carson RC, Juszczak M, Davenport A and Burns A (2009) Is maximum conservative management an equivalent treatment option to dialysis for elderly patients with significant comorbid disease? Clinical Journal of the American Society of Nephrology, 4(10), pp.1611–1619. doi:10.2215/CJN.00510109.</w:t>
      </w:r>
    </w:p>
    <w:p>
      <w:pPr>
        <w:spacing w:after="120" w:before="0"/>
        <w:ind w:left="720"/>
      </w:pPr>
      <w:r>
        <w:rPr>
          <w:rFonts w:ascii="Calibri" w:cs="Calibri" w:eastAsia="Calibri" w:hAnsi="Calibri"/>
          <w:b/>
          <w:bCs/>
          <w:i/>
          <w:iCs/>
          <w:color w:val="C00000"/>
          <w:sz w:val="20"/>
          <w:szCs w:val="20"/>
        </w:rPr>
        <w:t xml:space="preserve">Palliative Foundational</w:t>
      </w:r>
    </w:p>
    <w:p>
      <w:pPr>
        <w:pStyle w:val="Heading1"/>
        <w:pBdr>
          <w:bottom w:val="single" w:color="1F4E79" w:sz="8" w:space="4"/>
        </w:pBdr>
        <w:spacing w:after="180" w:before="360"/>
      </w:pPr>
      <w:r>
        <w:rPr>
          <w:rFonts w:ascii="Calibri" w:cs="Calibri" w:eastAsia="Calibri" w:hAnsi="Calibri"/>
          <w:b/>
          <w:bCs/>
          <w:color w:val="1F4E79"/>
          <w:sz w:val="28"/>
          <w:szCs w:val="28"/>
        </w:rPr>
        <w:t xml:space="preserve">GLOBAL KIDNEY HEALTH</w:t>
      </w:r>
    </w:p>
    <w:p>
      <w:pPr>
        <w:spacing w:after="60" w:before="60" w:line="276"/>
        <w:ind w:left="720" w:hanging="720"/>
      </w:pPr>
      <w:r>
        <w:rPr>
          <w:rFonts w:ascii="Calibri" w:cs="Calibri" w:eastAsia="Calibri" w:hAnsi="Calibri"/>
          <w:b/>
          <w:bCs/>
          <w:sz w:val="22"/>
          <w:szCs w:val="22"/>
        </w:rPr>
        <w:t xml:space="preserve">149.	</w:t>
      </w:r>
      <w:r>
        <w:rPr>
          <w:rFonts w:ascii="Calibri" w:cs="Calibri" w:eastAsia="Calibri" w:hAnsi="Calibri"/>
          <w:sz w:val="22"/>
          <w:szCs w:val="22"/>
        </w:rPr>
        <w:t xml:space="preserve">Luyckx VA, Tonelli M and Stanifer JW (2018) The global burden of kidney disease and the sustainable development goals. Bulletin of the World Health Organization, 96(6), pp.414–422D. doi:10.2471/BLT.17.206441.</w:t>
      </w:r>
    </w:p>
    <w:p>
      <w:pPr>
        <w:spacing w:after="120" w:before="0"/>
        <w:ind w:left="720"/>
      </w:pPr>
      <w:r>
        <w:rPr>
          <w:rFonts w:ascii="Calibri" w:cs="Calibri" w:eastAsia="Calibri" w:hAnsi="Calibri"/>
          <w:b/>
          <w:bCs/>
          <w:i/>
          <w:iCs/>
          <w:color w:val="C00000"/>
          <w:sz w:val="20"/>
          <w:szCs w:val="20"/>
        </w:rPr>
        <w:t xml:space="preserve">Global Policy</w:t>
      </w:r>
    </w:p>
    <w:p>
      <w:pPr>
        <w:pStyle w:val="Heading1"/>
        <w:pBdr>
          <w:bottom w:val="single" w:color="1F4E79" w:sz="8" w:space="4"/>
        </w:pBdr>
        <w:spacing w:after="180" w:before="360"/>
      </w:pPr>
      <w:r>
        <w:rPr>
          <w:rFonts w:ascii="Calibri" w:cs="Calibri" w:eastAsia="Calibri" w:hAnsi="Calibri"/>
          <w:b/>
          <w:bCs/>
          <w:color w:val="1F4E79"/>
          <w:sz w:val="28"/>
          <w:szCs w:val="28"/>
        </w:rPr>
        <w:t xml:space="preserve">FUTURE OF NEPHROLOGY</w:t>
      </w:r>
    </w:p>
    <w:p>
      <w:pPr>
        <w:spacing w:after="60" w:before="60" w:line="276"/>
        <w:ind w:left="720" w:hanging="720"/>
      </w:pPr>
      <w:r>
        <w:rPr>
          <w:rFonts w:ascii="Calibri" w:cs="Calibri" w:eastAsia="Calibri" w:hAnsi="Calibri"/>
          <w:b/>
          <w:bCs/>
          <w:sz w:val="22"/>
          <w:szCs w:val="22"/>
        </w:rPr>
        <w:t xml:space="preserve">150.	</w:t>
      </w:r>
      <w:r>
        <w:rPr>
          <w:rFonts w:ascii="Calibri" w:cs="Calibri" w:eastAsia="Calibri" w:hAnsi="Calibri"/>
          <w:sz w:val="22"/>
          <w:szCs w:val="22"/>
        </w:rPr>
        <w:t xml:space="preserve">Humphreys BD (2018) Mechanisms of renal fibrosis. Annual Review of Physiology, 80, pp.309–326. doi:10.1146/annurev-physiol-022516-034227.</w:t>
      </w:r>
    </w:p>
    <w:p>
      <w:pPr>
        <w:spacing w:after="120" w:before="0"/>
        <w:ind w:left="720"/>
      </w:pPr>
      <w:r>
        <w:rPr>
          <w:rFonts w:ascii="Calibri" w:cs="Calibri" w:eastAsia="Calibri" w:hAnsi="Calibri"/>
          <w:b/>
          <w:bCs/>
          <w:i/>
          <w:iCs/>
          <w:color w:val="C00000"/>
          <w:sz w:val="20"/>
          <w:szCs w:val="20"/>
        </w:rPr>
        <w:t xml:space="preserve">Mechanistic Capstone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Calibri" w:cs="Calibri" w:eastAsia="Calibri" w:hAnsi="Calibri"/>
      <w:b/>
      <w:bCs/>
      <w:color w:val="1F4E79"/>
      <w:sz w:val="28"/>
      <w:szCs w:val="28"/>
    </w:rPr>
  </w:style>
  <w:style w:type="paragraph" w:styleId="Heading2">
    <w:name w:val="Heading 2"/>
    <w:basedOn w:val="Normal"/>
    <w:next w:val="Normal"/>
    <w:qFormat/>
    <w:pPr>
      <w:spacing w:after="120" w:before="240"/>
      <w:outlineLvl w:val="1"/>
    </w:pPr>
    <w:rPr>
      <w:rFonts w:ascii="Calibri" w:cs="Calibri" w:eastAsia="Calibri" w:hAnsi="Calibri"/>
      <w:b/>
      <w:bCs/>
      <w:color w:val="2E75B6"/>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Nephrology Reference Bibliography</dc:title>
  <dc:creator>Claude</dc:creator>
  <cp:lastModifiedBy>Un-named</cp:lastModifiedBy>
  <cp:revision>1</cp:revision>
  <dcterms:created xsi:type="dcterms:W3CDTF">2026-05-02T21:33:38.744Z</dcterms:created>
  <dcterms:modified xsi:type="dcterms:W3CDTF">2026-05-02T21:33:38.760Z</dcterms:modified>
</cp:coreProperties>
</file>

<file path=docProps/custom.xml><?xml version="1.0" encoding="utf-8"?>
<Properties xmlns="http://schemas.openxmlformats.org/officeDocument/2006/custom-properties" xmlns:vt="http://schemas.openxmlformats.org/officeDocument/2006/docPropsVTypes"/>
</file>